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E5A" w:rsidRPr="008A5E1C" w:rsidRDefault="00211E5A" w:rsidP="000F207B">
      <w:pPr>
        <w:spacing w:line="360" w:lineRule="auto"/>
        <w:jc w:val="both"/>
        <w:rPr>
          <w:i/>
          <w:lang w:val="en-GB"/>
        </w:rPr>
      </w:pPr>
      <w:r w:rsidRPr="008A5E1C">
        <w:rPr>
          <w:lang w:val="en-GB"/>
        </w:rPr>
        <w:t xml:space="preserve">Artikel publicerad </w:t>
      </w:r>
      <w:r w:rsidR="009E5122">
        <w:rPr>
          <w:lang w:val="en-GB"/>
        </w:rPr>
        <w:t xml:space="preserve">på japanska </w:t>
      </w:r>
      <w:r w:rsidRPr="008A5E1C">
        <w:rPr>
          <w:lang w:val="en-GB"/>
        </w:rPr>
        <w:t xml:space="preserve">i </w:t>
      </w:r>
      <w:r w:rsidRPr="008A5E1C">
        <w:rPr>
          <w:i/>
          <w:lang w:val="en-GB"/>
        </w:rPr>
        <w:t>The Journal of Ohara Institute for Social Research</w:t>
      </w:r>
      <w:r w:rsidR="008A5E1C" w:rsidRPr="008A5E1C">
        <w:rPr>
          <w:lang w:val="en-GB"/>
        </w:rPr>
        <w:t xml:space="preserve">, Tokyo, </w:t>
      </w:r>
      <w:r w:rsidRPr="008A5E1C">
        <w:rPr>
          <w:lang w:val="en-GB"/>
        </w:rPr>
        <w:t>no 705, July 2017</w:t>
      </w:r>
    </w:p>
    <w:p w:rsidR="00211E5A" w:rsidRPr="00211E5A" w:rsidRDefault="00211E5A" w:rsidP="000F207B">
      <w:pPr>
        <w:spacing w:line="360" w:lineRule="auto"/>
        <w:jc w:val="both"/>
        <w:rPr>
          <w:sz w:val="28"/>
          <w:szCs w:val="28"/>
          <w:lang w:val="en-GB"/>
        </w:rPr>
      </w:pPr>
    </w:p>
    <w:p w:rsidR="00711BC1" w:rsidRPr="00CF13BC" w:rsidRDefault="00211E5A" w:rsidP="00711BC1">
      <w:pPr>
        <w:pStyle w:val="Rubrik4"/>
        <w:rPr>
          <w:bCs w:val="0"/>
          <w:sz w:val="40"/>
          <w:szCs w:val="40"/>
          <w:lang w:val="en-GB"/>
        </w:rPr>
      </w:pPr>
      <w:r>
        <w:rPr>
          <w:bCs w:val="0"/>
          <w:sz w:val="40"/>
          <w:szCs w:val="40"/>
          <w:lang w:val="en-GB"/>
        </w:rPr>
        <w:t>“</w:t>
      </w:r>
      <w:r w:rsidR="00711BC1" w:rsidRPr="00CF13BC">
        <w:rPr>
          <w:bCs w:val="0"/>
          <w:sz w:val="40"/>
          <w:szCs w:val="40"/>
          <w:lang w:val="en-GB"/>
        </w:rPr>
        <w:t>Trust, loyalty and negotiations</w:t>
      </w:r>
      <w:r>
        <w:rPr>
          <w:bCs w:val="0"/>
          <w:sz w:val="40"/>
          <w:szCs w:val="40"/>
          <w:lang w:val="en-GB"/>
        </w:rPr>
        <w:t>”</w:t>
      </w:r>
    </w:p>
    <w:p w:rsidR="00711BC1" w:rsidRPr="00D177A4" w:rsidRDefault="00C27B19" w:rsidP="00711BC1">
      <w:pPr>
        <w:spacing w:line="360" w:lineRule="auto"/>
        <w:jc w:val="both"/>
        <w:rPr>
          <w:sz w:val="28"/>
          <w:szCs w:val="28"/>
          <w:lang w:val="en-GB"/>
        </w:rPr>
      </w:pPr>
      <w:r w:rsidRPr="00D177A4">
        <w:rPr>
          <w:sz w:val="28"/>
          <w:szCs w:val="28"/>
          <w:lang w:val="en-GB"/>
        </w:rPr>
        <w:t>In most cases the concept of trust is discussed as a way</w:t>
      </w:r>
      <w:r w:rsidR="003607F2" w:rsidRPr="00D177A4">
        <w:rPr>
          <w:sz w:val="28"/>
          <w:szCs w:val="28"/>
          <w:lang w:val="en-GB"/>
        </w:rPr>
        <w:t xml:space="preserve"> of understanding the formation of social capital and why society cohere.</w:t>
      </w:r>
      <w:r w:rsidR="003607F2" w:rsidRPr="00D177A4">
        <w:rPr>
          <w:rStyle w:val="Fotnotsreferens"/>
          <w:sz w:val="28"/>
          <w:szCs w:val="28"/>
          <w:lang w:val="en-GB"/>
        </w:rPr>
        <w:footnoteReference w:id="1"/>
      </w:r>
      <w:r w:rsidR="003607F2" w:rsidRPr="00D177A4">
        <w:rPr>
          <w:sz w:val="28"/>
          <w:szCs w:val="28"/>
          <w:lang w:val="en-GB"/>
        </w:rPr>
        <w:t xml:space="preserve"> In this article </w:t>
      </w:r>
      <w:r w:rsidR="00211E5A" w:rsidRPr="00D177A4">
        <w:rPr>
          <w:sz w:val="28"/>
          <w:szCs w:val="28"/>
          <w:lang w:val="en-GB"/>
        </w:rPr>
        <w:t>we</w:t>
      </w:r>
      <w:r w:rsidR="003607F2" w:rsidRPr="00D177A4">
        <w:rPr>
          <w:sz w:val="28"/>
          <w:szCs w:val="28"/>
          <w:lang w:val="en-GB"/>
        </w:rPr>
        <w:t xml:space="preserve"> discuss trust as a concept of understanding paternalistic relations in Japan and Sweden and </w:t>
      </w:r>
      <w:r w:rsidR="00211E5A" w:rsidRPr="00D177A4">
        <w:rPr>
          <w:sz w:val="28"/>
          <w:szCs w:val="28"/>
          <w:lang w:val="en-GB"/>
        </w:rPr>
        <w:t>we</w:t>
      </w:r>
      <w:r w:rsidR="003607F2" w:rsidRPr="00D177A4">
        <w:rPr>
          <w:sz w:val="28"/>
          <w:szCs w:val="28"/>
          <w:lang w:val="en-GB"/>
        </w:rPr>
        <w:t xml:space="preserve"> will also use the concept as a way of understanding similarities and differences in the paternalistic relations in the two countries. </w:t>
      </w:r>
      <w:r w:rsidR="009E5122" w:rsidRPr="00D177A4">
        <w:rPr>
          <w:sz w:val="28"/>
          <w:szCs w:val="28"/>
          <w:lang w:val="en-GB"/>
        </w:rPr>
        <w:t>Initially</w:t>
      </w:r>
      <w:r w:rsidR="009E5122" w:rsidRPr="00D177A4">
        <w:rPr>
          <w:sz w:val="28"/>
          <w:szCs w:val="28"/>
        </w:rPr>
        <w:t>,</w:t>
      </w:r>
      <w:r w:rsidR="00CF13BC" w:rsidRPr="00D177A4">
        <w:rPr>
          <w:sz w:val="28"/>
          <w:szCs w:val="28"/>
        </w:rPr>
        <w:t xml:space="preserve"> we will discuss the concept of trust; then we analyze trust as a power relation</w:t>
      </w:r>
      <w:r w:rsidR="00D83190" w:rsidRPr="00D177A4">
        <w:rPr>
          <w:sz w:val="28"/>
          <w:szCs w:val="28"/>
        </w:rPr>
        <w:t xml:space="preserve"> and as loyalty</w:t>
      </w:r>
      <w:r w:rsidR="00CF13BC" w:rsidRPr="00D177A4">
        <w:rPr>
          <w:sz w:val="28"/>
          <w:szCs w:val="28"/>
        </w:rPr>
        <w:t>; and finally</w:t>
      </w:r>
      <w:r w:rsidR="009E5122" w:rsidRPr="00D177A4">
        <w:rPr>
          <w:sz w:val="28"/>
          <w:szCs w:val="28"/>
        </w:rPr>
        <w:t>,</w:t>
      </w:r>
      <w:r w:rsidR="00CF13BC" w:rsidRPr="00D177A4">
        <w:rPr>
          <w:sz w:val="28"/>
          <w:szCs w:val="28"/>
        </w:rPr>
        <w:t xml:space="preserve"> we discuss </w:t>
      </w:r>
      <w:r w:rsidR="00D83190" w:rsidRPr="00D177A4">
        <w:rPr>
          <w:sz w:val="28"/>
          <w:szCs w:val="28"/>
        </w:rPr>
        <w:t xml:space="preserve">some </w:t>
      </w:r>
      <w:r w:rsidR="00CF13BC" w:rsidRPr="00D177A4">
        <w:rPr>
          <w:sz w:val="28"/>
          <w:szCs w:val="28"/>
        </w:rPr>
        <w:t>differen</w:t>
      </w:r>
      <w:r w:rsidR="00D83190" w:rsidRPr="00D177A4">
        <w:rPr>
          <w:sz w:val="28"/>
          <w:szCs w:val="28"/>
        </w:rPr>
        <w:t>ces in the</w:t>
      </w:r>
      <w:r w:rsidR="00CF13BC" w:rsidRPr="00D177A4">
        <w:rPr>
          <w:sz w:val="28"/>
          <w:szCs w:val="28"/>
        </w:rPr>
        <w:t xml:space="preserve"> concepts of trust in Sweden and Japan.</w:t>
      </w:r>
      <w:r w:rsidR="00D83190" w:rsidRPr="00D177A4">
        <w:rPr>
          <w:rStyle w:val="Fotnotsreferens"/>
          <w:sz w:val="28"/>
          <w:szCs w:val="28"/>
        </w:rPr>
        <w:footnoteReference w:id="2"/>
      </w:r>
    </w:p>
    <w:p w:rsidR="00711BC1" w:rsidRDefault="00711BC1" w:rsidP="00711BC1">
      <w:pPr>
        <w:spacing w:line="360" w:lineRule="auto"/>
        <w:jc w:val="both"/>
      </w:pPr>
    </w:p>
    <w:p w:rsidR="000C71B2" w:rsidRPr="00BF56FF" w:rsidRDefault="00F010D2">
      <w:pPr>
        <w:spacing w:line="360" w:lineRule="auto"/>
        <w:jc w:val="both"/>
        <w:rPr>
          <w:b/>
          <w:sz w:val="32"/>
          <w:szCs w:val="32"/>
          <w:lang w:val="en-GB"/>
        </w:rPr>
      </w:pPr>
      <w:r w:rsidRPr="00BF56FF">
        <w:rPr>
          <w:b/>
          <w:sz w:val="32"/>
          <w:szCs w:val="32"/>
          <w:lang w:val="en-GB"/>
        </w:rPr>
        <w:t>The concept of trust</w:t>
      </w:r>
    </w:p>
    <w:p w:rsidR="00180B0E" w:rsidRPr="00D177A4" w:rsidRDefault="008A3E05" w:rsidP="00F71E32">
      <w:pPr>
        <w:spacing w:line="360" w:lineRule="auto"/>
        <w:jc w:val="both"/>
        <w:rPr>
          <w:sz w:val="28"/>
          <w:szCs w:val="28"/>
          <w:lang w:val="en-GB"/>
        </w:rPr>
      </w:pPr>
      <w:r w:rsidRPr="00D177A4">
        <w:rPr>
          <w:sz w:val="28"/>
          <w:szCs w:val="28"/>
          <w:lang w:val="en-GB"/>
        </w:rPr>
        <w:t>Many definitions of the concept figures in the state of research.</w:t>
      </w:r>
      <w:r w:rsidR="00180B0E" w:rsidRPr="00D177A4">
        <w:rPr>
          <w:rStyle w:val="Fotnotsreferens"/>
          <w:sz w:val="28"/>
          <w:szCs w:val="28"/>
          <w:lang w:val="en-GB"/>
        </w:rPr>
        <w:t xml:space="preserve"> </w:t>
      </w:r>
      <w:r w:rsidR="00180B0E" w:rsidRPr="00D177A4">
        <w:rPr>
          <w:rStyle w:val="Fotnotsreferens"/>
          <w:sz w:val="28"/>
          <w:szCs w:val="28"/>
        </w:rPr>
        <w:footnoteReference w:id="3"/>
      </w:r>
      <w:r w:rsidR="00180B0E" w:rsidRPr="00D177A4">
        <w:rPr>
          <w:sz w:val="28"/>
          <w:szCs w:val="28"/>
          <w:lang w:val="en-GB"/>
        </w:rPr>
        <w:t xml:space="preserve"> </w:t>
      </w:r>
      <w:r w:rsidRPr="00D177A4">
        <w:rPr>
          <w:sz w:val="28"/>
          <w:szCs w:val="28"/>
          <w:lang w:val="en-GB"/>
        </w:rPr>
        <w:t>Our analysis</w:t>
      </w:r>
      <w:r w:rsidR="006212FD" w:rsidRPr="00D177A4">
        <w:rPr>
          <w:sz w:val="28"/>
          <w:szCs w:val="28"/>
          <w:lang w:val="en-GB"/>
        </w:rPr>
        <w:t xml:space="preserve"> </w:t>
      </w:r>
      <w:r w:rsidRPr="00D177A4">
        <w:rPr>
          <w:sz w:val="28"/>
          <w:szCs w:val="28"/>
          <w:lang w:val="en-GB"/>
        </w:rPr>
        <w:t xml:space="preserve">benchmark the polish sociologist </w:t>
      </w:r>
      <w:r w:rsidR="006212FD" w:rsidRPr="00D177A4">
        <w:rPr>
          <w:sz w:val="28"/>
          <w:szCs w:val="28"/>
          <w:lang w:val="en-GB"/>
        </w:rPr>
        <w:t xml:space="preserve">Piotr Sztompka </w:t>
      </w:r>
      <w:r w:rsidRPr="00D177A4">
        <w:rPr>
          <w:sz w:val="28"/>
          <w:szCs w:val="28"/>
          <w:lang w:val="en-GB"/>
        </w:rPr>
        <w:t xml:space="preserve">and his book </w:t>
      </w:r>
      <w:r w:rsidR="006212FD" w:rsidRPr="00D177A4">
        <w:rPr>
          <w:i/>
          <w:sz w:val="28"/>
          <w:szCs w:val="28"/>
          <w:lang w:val="en-GB"/>
        </w:rPr>
        <w:t>Trust</w:t>
      </w:r>
      <w:r w:rsidR="006212FD" w:rsidRPr="00D177A4">
        <w:rPr>
          <w:sz w:val="28"/>
          <w:szCs w:val="28"/>
          <w:lang w:val="en-GB"/>
        </w:rPr>
        <w:t xml:space="preserve">, </w:t>
      </w:r>
      <w:r w:rsidRPr="00D177A4">
        <w:rPr>
          <w:sz w:val="28"/>
          <w:szCs w:val="28"/>
          <w:lang w:val="en-GB"/>
        </w:rPr>
        <w:lastRenderedPageBreak/>
        <w:t>where he theoretically discuss</w:t>
      </w:r>
      <w:r w:rsidR="008A5E1C" w:rsidRPr="00D177A4">
        <w:rPr>
          <w:sz w:val="28"/>
          <w:szCs w:val="28"/>
          <w:lang w:val="en-GB"/>
        </w:rPr>
        <w:t>es</w:t>
      </w:r>
      <w:r w:rsidRPr="00D177A4">
        <w:rPr>
          <w:sz w:val="28"/>
          <w:szCs w:val="28"/>
          <w:lang w:val="en-GB"/>
        </w:rPr>
        <w:t xml:space="preserve"> the concept of trust as a basic institution in human behaviour</w:t>
      </w:r>
      <w:r w:rsidR="006212FD" w:rsidRPr="00D177A4">
        <w:rPr>
          <w:sz w:val="28"/>
          <w:szCs w:val="28"/>
          <w:lang w:val="en-GB"/>
        </w:rPr>
        <w:t>.</w:t>
      </w:r>
      <w:r w:rsidR="006212FD" w:rsidRPr="00D177A4">
        <w:rPr>
          <w:rStyle w:val="Fotnotsreferens"/>
          <w:sz w:val="28"/>
          <w:szCs w:val="28"/>
        </w:rPr>
        <w:footnoteReference w:id="4"/>
      </w:r>
    </w:p>
    <w:p w:rsidR="000C71B2" w:rsidRPr="00D177A4" w:rsidRDefault="00180B0E" w:rsidP="0080165A">
      <w:pPr>
        <w:spacing w:line="360" w:lineRule="auto"/>
        <w:jc w:val="both"/>
        <w:rPr>
          <w:sz w:val="28"/>
          <w:szCs w:val="28"/>
        </w:rPr>
      </w:pPr>
      <w:r w:rsidRPr="008A5E1C">
        <w:rPr>
          <w:lang w:val="en-GB"/>
        </w:rPr>
        <w:t xml:space="preserve">  </w:t>
      </w:r>
      <w:r w:rsidR="006212FD" w:rsidRPr="008A5E1C">
        <w:rPr>
          <w:lang w:val="en-GB"/>
        </w:rPr>
        <w:t xml:space="preserve"> </w:t>
      </w:r>
      <w:r w:rsidR="008A3E05" w:rsidRPr="00D177A4">
        <w:rPr>
          <w:sz w:val="28"/>
          <w:szCs w:val="28"/>
          <w:lang w:val="en-GB"/>
        </w:rPr>
        <w:t xml:space="preserve">Trust is synonymous with </w:t>
      </w:r>
      <w:r w:rsidR="006C5C26" w:rsidRPr="00D177A4">
        <w:rPr>
          <w:sz w:val="28"/>
          <w:szCs w:val="28"/>
          <w:lang w:val="en-GB"/>
        </w:rPr>
        <w:t>actor A (as individual or collective) trust</w:t>
      </w:r>
      <w:r w:rsidR="009F4356" w:rsidRPr="00D177A4">
        <w:rPr>
          <w:sz w:val="28"/>
          <w:szCs w:val="28"/>
          <w:lang w:val="en-GB"/>
        </w:rPr>
        <w:t>ing</w:t>
      </w:r>
      <w:r w:rsidR="006C5C26" w:rsidRPr="00D177A4">
        <w:rPr>
          <w:sz w:val="28"/>
          <w:szCs w:val="28"/>
          <w:lang w:val="en-GB"/>
        </w:rPr>
        <w:t xml:space="preserve"> actor B to act in a reliable and predictable way. A trust B’s future action will follow pre</w:t>
      </w:r>
      <w:r w:rsidR="002C4520" w:rsidRPr="00D177A4">
        <w:rPr>
          <w:sz w:val="28"/>
          <w:szCs w:val="28"/>
          <w:lang w:val="en-GB"/>
        </w:rPr>
        <w:t>-</w:t>
      </w:r>
      <w:r w:rsidR="006C5C26" w:rsidRPr="00D177A4">
        <w:rPr>
          <w:sz w:val="28"/>
          <w:szCs w:val="28"/>
          <w:lang w:val="en-GB"/>
        </w:rPr>
        <w:t>determined norms and rules. In return A consequently can act according to these pre</w:t>
      </w:r>
      <w:r w:rsidR="002C4520" w:rsidRPr="00D177A4">
        <w:rPr>
          <w:sz w:val="28"/>
          <w:szCs w:val="28"/>
          <w:lang w:val="en-GB"/>
        </w:rPr>
        <w:t>-</w:t>
      </w:r>
      <w:r w:rsidR="006C5C26" w:rsidRPr="00D177A4">
        <w:rPr>
          <w:sz w:val="28"/>
          <w:szCs w:val="28"/>
          <w:lang w:val="en-GB"/>
        </w:rPr>
        <w:t>conditions in maintaining the relation of trust.</w:t>
      </w:r>
      <w:r w:rsidR="0042057B" w:rsidRPr="00D177A4">
        <w:rPr>
          <w:rStyle w:val="Fotnotsreferens"/>
          <w:sz w:val="28"/>
          <w:szCs w:val="28"/>
          <w:lang w:val="sv-SE"/>
        </w:rPr>
        <w:footnoteReference w:id="5"/>
      </w:r>
      <w:r w:rsidRPr="00D177A4">
        <w:rPr>
          <w:sz w:val="28"/>
          <w:szCs w:val="28"/>
          <w:lang w:val="en-GB"/>
        </w:rPr>
        <w:t xml:space="preserve"> </w:t>
      </w:r>
      <w:r w:rsidR="006C5C26" w:rsidRPr="00D177A4">
        <w:rPr>
          <w:sz w:val="28"/>
          <w:szCs w:val="28"/>
          <w:lang w:val="en-GB"/>
        </w:rPr>
        <w:t xml:space="preserve">Trust prerequisite a </w:t>
      </w:r>
      <w:r w:rsidR="006C5C26" w:rsidRPr="00D177A4">
        <w:rPr>
          <w:i/>
          <w:sz w:val="28"/>
          <w:szCs w:val="28"/>
          <w:lang w:val="en-GB"/>
        </w:rPr>
        <w:t>mutual relation</w:t>
      </w:r>
      <w:r w:rsidR="006C5C26" w:rsidRPr="00D177A4">
        <w:rPr>
          <w:sz w:val="28"/>
          <w:szCs w:val="28"/>
          <w:lang w:val="en-GB"/>
        </w:rPr>
        <w:t xml:space="preserve"> between actors knowing each other, having a </w:t>
      </w:r>
      <w:r w:rsidR="006C5C26" w:rsidRPr="00D177A4">
        <w:rPr>
          <w:i/>
          <w:sz w:val="28"/>
          <w:szCs w:val="28"/>
          <w:lang w:val="en-GB"/>
        </w:rPr>
        <w:t>calculable</w:t>
      </w:r>
      <w:r w:rsidR="006C5C26" w:rsidRPr="00D177A4">
        <w:rPr>
          <w:sz w:val="28"/>
          <w:szCs w:val="28"/>
          <w:lang w:val="en-GB"/>
        </w:rPr>
        <w:t xml:space="preserve"> relation.</w:t>
      </w:r>
      <w:r w:rsidR="00C04CB7" w:rsidRPr="00D177A4">
        <w:rPr>
          <w:sz w:val="28"/>
          <w:szCs w:val="28"/>
          <w:lang w:val="en-GB"/>
        </w:rPr>
        <w:t xml:space="preserve"> Actors also trust the related actor’s future actions will follow predictable </w:t>
      </w:r>
      <w:r w:rsidR="00C04CB7" w:rsidRPr="00D177A4">
        <w:rPr>
          <w:i/>
          <w:sz w:val="28"/>
          <w:szCs w:val="28"/>
          <w:lang w:val="en-GB"/>
        </w:rPr>
        <w:t>norms</w:t>
      </w:r>
      <w:r w:rsidR="00C04CB7" w:rsidRPr="00D177A4">
        <w:rPr>
          <w:sz w:val="28"/>
          <w:szCs w:val="28"/>
          <w:lang w:val="en-GB"/>
        </w:rPr>
        <w:t xml:space="preserve"> and </w:t>
      </w:r>
      <w:r w:rsidR="00C04CB7" w:rsidRPr="00D177A4">
        <w:rPr>
          <w:i/>
          <w:sz w:val="28"/>
          <w:szCs w:val="28"/>
          <w:lang w:val="en-GB"/>
        </w:rPr>
        <w:t>systems of rules</w:t>
      </w:r>
      <w:r w:rsidR="00C04CB7" w:rsidRPr="00D177A4">
        <w:rPr>
          <w:sz w:val="28"/>
          <w:szCs w:val="28"/>
          <w:lang w:val="en-GB"/>
        </w:rPr>
        <w:t>. In other terms, trust is based on a calculated expectation of the future.</w:t>
      </w:r>
      <w:r w:rsidR="0042057B" w:rsidRPr="00D177A4">
        <w:rPr>
          <w:rStyle w:val="Fotnotsreferens"/>
          <w:sz w:val="28"/>
          <w:szCs w:val="28"/>
        </w:rPr>
        <w:footnoteReference w:id="6"/>
      </w:r>
      <w:r w:rsidR="006212FD" w:rsidRPr="00D177A4">
        <w:rPr>
          <w:sz w:val="28"/>
          <w:szCs w:val="28"/>
          <w:lang w:val="en-GB"/>
        </w:rPr>
        <w:t xml:space="preserve"> </w:t>
      </w:r>
      <w:r w:rsidR="009E5122" w:rsidRPr="00D177A4">
        <w:rPr>
          <w:sz w:val="28"/>
          <w:szCs w:val="28"/>
          <w:lang w:val="en-GB"/>
        </w:rPr>
        <w:t>Consequently</w:t>
      </w:r>
      <w:r w:rsidR="005D1AC8" w:rsidRPr="00D177A4">
        <w:rPr>
          <w:sz w:val="28"/>
          <w:szCs w:val="28"/>
          <w:lang w:val="en-GB"/>
        </w:rPr>
        <w:t xml:space="preserve"> </w:t>
      </w:r>
      <w:r w:rsidR="002C4520" w:rsidRPr="00D177A4">
        <w:rPr>
          <w:sz w:val="28"/>
          <w:szCs w:val="28"/>
          <w:lang w:val="en-GB"/>
        </w:rPr>
        <w:t xml:space="preserve">actor </w:t>
      </w:r>
      <w:r w:rsidR="00C04CB7" w:rsidRPr="00D177A4">
        <w:rPr>
          <w:sz w:val="28"/>
          <w:szCs w:val="28"/>
          <w:lang w:val="en-GB"/>
        </w:rPr>
        <w:t xml:space="preserve">A makes a risk analyses in the evaluation if B’s will act inside the frame of the system of rules. </w:t>
      </w:r>
      <w:r w:rsidR="009E5122" w:rsidRPr="00D177A4">
        <w:rPr>
          <w:sz w:val="28"/>
          <w:szCs w:val="28"/>
          <w:lang w:val="en-GB"/>
        </w:rPr>
        <w:t>So</w:t>
      </w:r>
      <w:r w:rsidR="00C04CB7" w:rsidRPr="00D177A4">
        <w:rPr>
          <w:sz w:val="28"/>
          <w:szCs w:val="28"/>
          <w:lang w:val="en-GB"/>
        </w:rPr>
        <w:t xml:space="preserve"> long as the actors follow these rules their mutual relation is safe. Due to this fact trust is an important strategy in dealing with insecurity and an unpredictable future. </w:t>
      </w:r>
      <w:r w:rsidR="003374B9" w:rsidRPr="00D177A4">
        <w:rPr>
          <w:sz w:val="28"/>
          <w:szCs w:val="28"/>
          <w:lang w:val="en-GB"/>
        </w:rPr>
        <w:t xml:space="preserve">According to the </w:t>
      </w:r>
      <w:r w:rsidR="00C04CB7" w:rsidRPr="00D177A4">
        <w:rPr>
          <w:sz w:val="28"/>
          <w:szCs w:val="28"/>
          <w:lang w:val="en-GB"/>
        </w:rPr>
        <w:t xml:space="preserve">sociologist Niklas Luhmann </w:t>
      </w:r>
      <w:r w:rsidRPr="00D177A4">
        <w:rPr>
          <w:sz w:val="28"/>
          <w:szCs w:val="28"/>
          <w:lang w:val="en-GB"/>
        </w:rPr>
        <w:t>”</w:t>
      </w:r>
      <w:r w:rsidRPr="00D177A4">
        <w:rPr>
          <w:i/>
          <w:iCs/>
          <w:sz w:val="28"/>
          <w:szCs w:val="28"/>
          <w:lang w:val="en-GB"/>
        </w:rPr>
        <w:t>Trust is a solution for specific problems of risk</w:t>
      </w:r>
      <w:r w:rsidRPr="00D177A4">
        <w:rPr>
          <w:sz w:val="28"/>
          <w:szCs w:val="28"/>
          <w:lang w:val="en-GB"/>
        </w:rPr>
        <w:t>”.</w:t>
      </w:r>
      <w:r w:rsidR="0042057B" w:rsidRPr="00D177A4">
        <w:rPr>
          <w:rStyle w:val="Fotnotsreferens"/>
          <w:sz w:val="28"/>
          <w:szCs w:val="28"/>
        </w:rPr>
        <w:footnoteReference w:id="7"/>
      </w:r>
      <w:r w:rsidRPr="00D177A4">
        <w:rPr>
          <w:sz w:val="28"/>
          <w:szCs w:val="28"/>
          <w:lang w:val="en-GB"/>
        </w:rPr>
        <w:t xml:space="preserve"> </w:t>
      </w:r>
      <w:r w:rsidR="00C04CB7" w:rsidRPr="00D177A4">
        <w:rPr>
          <w:sz w:val="28"/>
          <w:szCs w:val="28"/>
          <w:lang w:val="en-GB"/>
        </w:rPr>
        <w:t xml:space="preserve">The emphasis of </w:t>
      </w:r>
      <w:r w:rsidR="003374B9" w:rsidRPr="00D177A4">
        <w:rPr>
          <w:sz w:val="28"/>
          <w:szCs w:val="28"/>
          <w:lang w:val="en-GB"/>
        </w:rPr>
        <w:t xml:space="preserve">analysing risk </w:t>
      </w:r>
      <w:r w:rsidR="009F4356" w:rsidRPr="00D177A4">
        <w:rPr>
          <w:sz w:val="28"/>
          <w:szCs w:val="28"/>
          <w:lang w:val="en-GB"/>
        </w:rPr>
        <w:t>makes</w:t>
      </w:r>
      <w:r w:rsidR="003374B9" w:rsidRPr="00D177A4">
        <w:rPr>
          <w:sz w:val="28"/>
          <w:szCs w:val="28"/>
          <w:lang w:val="en-GB"/>
        </w:rPr>
        <w:t xml:space="preserve"> Sztompka </w:t>
      </w:r>
      <w:r w:rsidR="002C4520" w:rsidRPr="00D177A4">
        <w:rPr>
          <w:sz w:val="28"/>
          <w:szCs w:val="28"/>
          <w:lang w:val="en-GB"/>
        </w:rPr>
        <w:t>draw</w:t>
      </w:r>
      <w:r w:rsidR="003374B9" w:rsidRPr="00D177A4">
        <w:rPr>
          <w:sz w:val="28"/>
          <w:szCs w:val="28"/>
          <w:lang w:val="en-GB"/>
        </w:rPr>
        <w:t xml:space="preserve"> the conclusion: </w:t>
      </w:r>
      <w:r w:rsidR="0042057B" w:rsidRPr="00D177A4">
        <w:rPr>
          <w:sz w:val="28"/>
          <w:szCs w:val="28"/>
          <w:lang w:val="en-GB"/>
        </w:rPr>
        <w:t>”</w:t>
      </w:r>
      <w:r w:rsidR="0042057B" w:rsidRPr="00D177A4">
        <w:rPr>
          <w:i/>
          <w:iCs/>
          <w:sz w:val="28"/>
          <w:szCs w:val="28"/>
          <w:lang w:val="en-GB"/>
        </w:rPr>
        <w:t>Risk in this specific sense is in many ways paral</w:t>
      </w:r>
      <w:r w:rsidR="005D1AC8" w:rsidRPr="00D177A4">
        <w:rPr>
          <w:i/>
          <w:iCs/>
          <w:sz w:val="28"/>
          <w:szCs w:val="28"/>
          <w:lang w:val="en-GB"/>
        </w:rPr>
        <w:t>l</w:t>
      </w:r>
      <w:r w:rsidR="0042057B" w:rsidRPr="00D177A4">
        <w:rPr>
          <w:i/>
          <w:iCs/>
          <w:sz w:val="28"/>
          <w:szCs w:val="28"/>
          <w:lang w:val="en-GB"/>
        </w:rPr>
        <w:t xml:space="preserve">el to trust. </w:t>
      </w:r>
      <w:r w:rsidR="0042057B" w:rsidRPr="00D177A4">
        <w:rPr>
          <w:i/>
          <w:iCs/>
          <w:sz w:val="28"/>
          <w:szCs w:val="28"/>
        </w:rPr>
        <w:t>First, it is oriented toward the future. Risk is the unwelcome, threatening future state of the world</w:t>
      </w:r>
      <w:r w:rsidR="0042057B" w:rsidRPr="00D177A4">
        <w:rPr>
          <w:sz w:val="28"/>
          <w:szCs w:val="28"/>
        </w:rPr>
        <w:t>”.</w:t>
      </w:r>
      <w:r w:rsidR="0042057B" w:rsidRPr="00D177A4">
        <w:rPr>
          <w:rStyle w:val="Fotnotsreferens"/>
          <w:sz w:val="28"/>
          <w:szCs w:val="28"/>
        </w:rPr>
        <w:footnoteReference w:id="8"/>
      </w:r>
      <w:r w:rsidR="0080165A" w:rsidRPr="00D177A4">
        <w:rPr>
          <w:sz w:val="28"/>
          <w:szCs w:val="28"/>
        </w:rPr>
        <w:t xml:space="preserve"> </w:t>
      </w:r>
      <w:r w:rsidR="002C4520" w:rsidRPr="00D177A4">
        <w:rPr>
          <w:sz w:val="28"/>
          <w:szCs w:val="28"/>
        </w:rPr>
        <w:t xml:space="preserve">So, </w:t>
      </w:r>
      <w:r w:rsidR="003374B9" w:rsidRPr="00D177A4">
        <w:rPr>
          <w:sz w:val="28"/>
          <w:szCs w:val="28"/>
        </w:rPr>
        <w:t>trust is something fragile and unsecure, but also necessar</w:t>
      </w:r>
      <w:r w:rsidR="00FC1045" w:rsidRPr="00D177A4">
        <w:rPr>
          <w:sz w:val="28"/>
          <w:szCs w:val="28"/>
        </w:rPr>
        <w:t>y for the stability of society as even complex relations are built on confident co</w:t>
      </w:r>
      <w:r w:rsidR="009F4356" w:rsidRPr="00D177A4">
        <w:rPr>
          <w:sz w:val="28"/>
          <w:szCs w:val="28"/>
        </w:rPr>
        <w:t>-</w:t>
      </w:r>
      <w:r w:rsidR="00FC1045" w:rsidRPr="00D177A4">
        <w:rPr>
          <w:sz w:val="28"/>
          <w:szCs w:val="28"/>
        </w:rPr>
        <w:t>operation.</w:t>
      </w:r>
      <w:r w:rsidR="0042057B" w:rsidRPr="00D177A4">
        <w:rPr>
          <w:rStyle w:val="Fotnotsreferens"/>
          <w:color w:val="000000"/>
          <w:sz w:val="28"/>
          <w:szCs w:val="28"/>
        </w:rPr>
        <w:footnoteReference w:id="9"/>
      </w:r>
    </w:p>
    <w:p w:rsidR="000C71B2" w:rsidRPr="00D177A4" w:rsidRDefault="00331D5F" w:rsidP="00380D36">
      <w:pPr>
        <w:spacing w:line="360" w:lineRule="auto"/>
        <w:jc w:val="both"/>
        <w:rPr>
          <w:sz w:val="28"/>
          <w:szCs w:val="28"/>
          <w:lang w:val="en-GB"/>
        </w:rPr>
      </w:pPr>
      <w:r w:rsidRPr="00D177A4">
        <w:rPr>
          <w:sz w:val="28"/>
          <w:szCs w:val="28"/>
          <w:lang w:val="en-GB"/>
        </w:rPr>
        <w:t xml:space="preserve">   The Swedish </w:t>
      </w:r>
      <w:r w:rsidR="009770D0" w:rsidRPr="00D177A4">
        <w:rPr>
          <w:sz w:val="28"/>
          <w:szCs w:val="28"/>
          <w:lang w:val="en-GB"/>
        </w:rPr>
        <w:t>theologian Erik Blennberger differ</w:t>
      </w:r>
      <w:r w:rsidR="009F4356" w:rsidRPr="00D177A4">
        <w:rPr>
          <w:sz w:val="28"/>
          <w:szCs w:val="28"/>
          <w:lang w:val="en-GB"/>
        </w:rPr>
        <w:t>s</w:t>
      </w:r>
      <w:r w:rsidR="009770D0" w:rsidRPr="00D177A4">
        <w:rPr>
          <w:sz w:val="28"/>
          <w:szCs w:val="28"/>
          <w:lang w:val="en-GB"/>
        </w:rPr>
        <w:t xml:space="preserve"> between basic trust, which is necessary in a society, and the special trust concerning specific relations.</w:t>
      </w:r>
      <w:r w:rsidR="0042057B" w:rsidRPr="00D177A4">
        <w:rPr>
          <w:rStyle w:val="Fotnotsreferens"/>
          <w:sz w:val="28"/>
          <w:szCs w:val="28"/>
          <w:lang w:val="sv-SE"/>
        </w:rPr>
        <w:footnoteReference w:id="10"/>
      </w:r>
      <w:r w:rsidR="0042057B" w:rsidRPr="00D177A4">
        <w:rPr>
          <w:sz w:val="28"/>
          <w:szCs w:val="28"/>
          <w:lang w:val="en-GB"/>
        </w:rPr>
        <w:t xml:space="preserve"> </w:t>
      </w:r>
      <w:r w:rsidR="00961428" w:rsidRPr="00D177A4">
        <w:rPr>
          <w:sz w:val="28"/>
          <w:szCs w:val="28"/>
          <w:lang w:val="en-GB"/>
        </w:rPr>
        <w:t xml:space="preserve">The mutuality of trust makes </w:t>
      </w:r>
      <w:r w:rsidR="009770D0" w:rsidRPr="00D177A4">
        <w:rPr>
          <w:sz w:val="28"/>
          <w:szCs w:val="28"/>
          <w:lang w:val="en-GB"/>
        </w:rPr>
        <w:t>Robert Putnam refer to the paradox of the American baseball player Yogi Berra. If you don’t go to someone</w:t>
      </w:r>
      <w:r w:rsidR="00BF56FF" w:rsidRPr="00D177A4">
        <w:rPr>
          <w:sz w:val="28"/>
          <w:szCs w:val="28"/>
          <w:lang w:val="en-GB"/>
        </w:rPr>
        <w:t>’</w:t>
      </w:r>
      <w:r w:rsidR="009770D0" w:rsidRPr="00D177A4">
        <w:rPr>
          <w:sz w:val="28"/>
          <w:szCs w:val="28"/>
          <w:lang w:val="en-GB"/>
        </w:rPr>
        <w:t>s funeral, he won’t visit yours.</w:t>
      </w:r>
      <w:r w:rsidR="0042057B" w:rsidRPr="00D177A4">
        <w:rPr>
          <w:rStyle w:val="Fotnotsreferens"/>
          <w:sz w:val="28"/>
          <w:szCs w:val="28"/>
          <w:lang w:val="sv-SE"/>
        </w:rPr>
        <w:footnoteReference w:id="11"/>
      </w:r>
      <w:r w:rsidR="0042057B" w:rsidRPr="00D177A4">
        <w:rPr>
          <w:sz w:val="28"/>
          <w:szCs w:val="28"/>
          <w:lang w:val="en-GB"/>
        </w:rPr>
        <w:t xml:space="preserve"> </w:t>
      </w:r>
      <w:r w:rsidR="009770D0" w:rsidRPr="00D177A4">
        <w:rPr>
          <w:sz w:val="28"/>
          <w:szCs w:val="28"/>
          <w:lang w:val="en-GB"/>
        </w:rPr>
        <w:t>The reciprocity can deal with favours and favours in return, but according to Putnam it can also be “generalized”. Actors act trustworthy without any expectations of counter</w:t>
      </w:r>
      <w:r w:rsidR="009F4356" w:rsidRPr="00D177A4">
        <w:rPr>
          <w:sz w:val="28"/>
          <w:szCs w:val="28"/>
          <w:lang w:val="en-GB"/>
        </w:rPr>
        <w:t>-</w:t>
      </w:r>
      <w:r w:rsidR="009770D0" w:rsidRPr="00D177A4">
        <w:rPr>
          <w:sz w:val="28"/>
          <w:szCs w:val="28"/>
          <w:lang w:val="en-GB"/>
        </w:rPr>
        <w:t xml:space="preserve">performances. Generalized reciprocity creates good relations and </w:t>
      </w:r>
      <w:r w:rsidR="00380D36" w:rsidRPr="00D177A4">
        <w:rPr>
          <w:sz w:val="28"/>
          <w:szCs w:val="28"/>
          <w:lang w:val="en-GB"/>
        </w:rPr>
        <w:t>butters human intercourse.</w:t>
      </w:r>
      <w:r w:rsidR="0042057B" w:rsidRPr="00D177A4">
        <w:rPr>
          <w:rStyle w:val="Fotnotsreferens"/>
          <w:sz w:val="28"/>
          <w:szCs w:val="28"/>
          <w:lang w:val="sv-SE"/>
        </w:rPr>
        <w:footnoteReference w:id="12"/>
      </w:r>
    </w:p>
    <w:p w:rsidR="00B718D9" w:rsidRPr="00380D36" w:rsidRDefault="00B718D9">
      <w:pPr>
        <w:spacing w:line="360" w:lineRule="auto"/>
        <w:jc w:val="both"/>
        <w:rPr>
          <w:lang w:val="en-GB"/>
        </w:rPr>
      </w:pPr>
    </w:p>
    <w:p w:rsidR="00B718D9" w:rsidRPr="00380D36" w:rsidRDefault="00380D36">
      <w:pPr>
        <w:spacing w:line="360" w:lineRule="auto"/>
        <w:jc w:val="both"/>
        <w:rPr>
          <w:b/>
          <w:sz w:val="32"/>
          <w:szCs w:val="32"/>
          <w:lang w:val="en-GB"/>
        </w:rPr>
      </w:pPr>
      <w:r w:rsidRPr="00380D36">
        <w:rPr>
          <w:b/>
          <w:sz w:val="32"/>
          <w:szCs w:val="32"/>
          <w:lang w:val="en-GB"/>
        </w:rPr>
        <w:t>Trust as a hegemonic power relation</w:t>
      </w:r>
    </w:p>
    <w:p w:rsidR="00961428" w:rsidRPr="00D177A4" w:rsidRDefault="00380D36" w:rsidP="00961428">
      <w:pPr>
        <w:spacing w:line="360" w:lineRule="auto"/>
        <w:jc w:val="both"/>
        <w:rPr>
          <w:sz w:val="28"/>
          <w:szCs w:val="28"/>
          <w:lang w:val="en-GB"/>
        </w:rPr>
      </w:pPr>
      <w:r w:rsidRPr="00D177A4">
        <w:rPr>
          <w:sz w:val="28"/>
          <w:szCs w:val="28"/>
          <w:lang w:val="en-GB"/>
        </w:rPr>
        <w:t xml:space="preserve">The difference between basic trust and special trust is useful. Here we will especially discuss special trust. Basic but not special trust can be </w:t>
      </w:r>
      <w:r w:rsidR="00763FC1" w:rsidRPr="00D177A4">
        <w:rPr>
          <w:sz w:val="28"/>
          <w:szCs w:val="28"/>
          <w:lang w:val="en-GB"/>
        </w:rPr>
        <w:t xml:space="preserve">viewed in a </w:t>
      </w:r>
      <w:r w:rsidRPr="00D177A4">
        <w:rPr>
          <w:sz w:val="28"/>
          <w:szCs w:val="28"/>
          <w:lang w:val="en-GB"/>
        </w:rPr>
        <w:t>generalized</w:t>
      </w:r>
      <w:r w:rsidR="005D1AC8" w:rsidRPr="00D177A4">
        <w:rPr>
          <w:sz w:val="28"/>
          <w:szCs w:val="28"/>
          <w:lang w:val="en-GB"/>
        </w:rPr>
        <w:t xml:space="preserve"> </w:t>
      </w:r>
      <w:r w:rsidR="00763FC1" w:rsidRPr="00D177A4">
        <w:rPr>
          <w:sz w:val="28"/>
          <w:szCs w:val="28"/>
          <w:lang w:val="en-GB"/>
        </w:rPr>
        <w:t>way. T</w:t>
      </w:r>
      <w:r w:rsidR="005D1AC8" w:rsidRPr="00D177A4">
        <w:rPr>
          <w:sz w:val="28"/>
          <w:szCs w:val="28"/>
          <w:lang w:val="en-GB"/>
        </w:rPr>
        <w:t xml:space="preserve">he </w:t>
      </w:r>
      <w:r w:rsidRPr="00D177A4">
        <w:rPr>
          <w:sz w:val="28"/>
          <w:szCs w:val="28"/>
          <w:lang w:val="en-GB"/>
        </w:rPr>
        <w:t xml:space="preserve">analyses </w:t>
      </w:r>
      <w:r w:rsidR="00763FC1" w:rsidRPr="00D177A4">
        <w:rPr>
          <w:sz w:val="28"/>
          <w:szCs w:val="28"/>
          <w:lang w:val="en-GB"/>
        </w:rPr>
        <w:t xml:space="preserve">also </w:t>
      </w:r>
      <w:r w:rsidRPr="00D177A4">
        <w:rPr>
          <w:sz w:val="28"/>
          <w:szCs w:val="28"/>
          <w:lang w:val="en-GB"/>
        </w:rPr>
        <w:t xml:space="preserve">need to observe both trust and risk. </w:t>
      </w:r>
      <w:r w:rsidR="00961428" w:rsidRPr="00D177A4">
        <w:rPr>
          <w:sz w:val="28"/>
          <w:szCs w:val="28"/>
          <w:lang w:val="en-GB"/>
        </w:rPr>
        <w:t xml:space="preserve">We consider special trust in two ways: </w:t>
      </w:r>
      <w:r w:rsidR="00763FC1" w:rsidRPr="00D177A4">
        <w:rPr>
          <w:sz w:val="28"/>
          <w:szCs w:val="28"/>
          <w:lang w:val="en-GB"/>
        </w:rPr>
        <w:t xml:space="preserve">at </w:t>
      </w:r>
      <w:r w:rsidR="005D1AC8" w:rsidRPr="00D177A4">
        <w:rPr>
          <w:sz w:val="28"/>
          <w:szCs w:val="28"/>
          <w:lang w:val="en-GB"/>
        </w:rPr>
        <w:t xml:space="preserve">first as a </w:t>
      </w:r>
      <w:r w:rsidR="005D1AC8" w:rsidRPr="00D177A4">
        <w:rPr>
          <w:i/>
          <w:sz w:val="28"/>
          <w:szCs w:val="28"/>
          <w:lang w:val="en-GB"/>
        </w:rPr>
        <w:t>relation</w:t>
      </w:r>
      <w:r w:rsidR="005D1AC8" w:rsidRPr="00D177A4">
        <w:rPr>
          <w:sz w:val="28"/>
          <w:szCs w:val="28"/>
          <w:lang w:val="en-GB"/>
        </w:rPr>
        <w:t xml:space="preserve"> between two parties, </w:t>
      </w:r>
      <w:r w:rsidR="00763FC1" w:rsidRPr="00D177A4">
        <w:rPr>
          <w:sz w:val="28"/>
          <w:szCs w:val="28"/>
          <w:lang w:val="en-GB"/>
        </w:rPr>
        <w:t>and at second</w:t>
      </w:r>
      <w:r w:rsidR="005D1AC8" w:rsidRPr="00D177A4">
        <w:rPr>
          <w:sz w:val="28"/>
          <w:szCs w:val="28"/>
          <w:lang w:val="en-GB"/>
        </w:rPr>
        <w:t xml:space="preserve"> as </w:t>
      </w:r>
      <w:r w:rsidR="001579FF" w:rsidRPr="00D177A4">
        <w:rPr>
          <w:sz w:val="28"/>
          <w:szCs w:val="28"/>
          <w:lang w:val="en-GB"/>
        </w:rPr>
        <w:t xml:space="preserve">an act of solidarity between actors trying to </w:t>
      </w:r>
      <w:r w:rsidR="00467C48" w:rsidRPr="00D177A4">
        <w:rPr>
          <w:sz w:val="28"/>
          <w:szCs w:val="28"/>
          <w:lang w:val="en-GB"/>
        </w:rPr>
        <w:t xml:space="preserve">maintain their </w:t>
      </w:r>
      <w:r w:rsidR="00467C48" w:rsidRPr="00D177A4">
        <w:rPr>
          <w:i/>
          <w:sz w:val="28"/>
          <w:szCs w:val="28"/>
          <w:lang w:val="en-GB"/>
        </w:rPr>
        <w:t>dependent relation</w:t>
      </w:r>
      <w:r w:rsidR="00467C48" w:rsidRPr="00D177A4">
        <w:rPr>
          <w:sz w:val="28"/>
          <w:szCs w:val="28"/>
          <w:lang w:val="en-GB"/>
        </w:rPr>
        <w:t xml:space="preserve">, but also </w:t>
      </w:r>
      <w:r w:rsidR="001579FF" w:rsidRPr="00D177A4">
        <w:rPr>
          <w:sz w:val="28"/>
          <w:szCs w:val="28"/>
          <w:lang w:val="en-GB"/>
        </w:rPr>
        <w:t>expand</w:t>
      </w:r>
      <w:r w:rsidR="00467C48" w:rsidRPr="00D177A4">
        <w:rPr>
          <w:sz w:val="28"/>
          <w:szCs w:val="28"/>
          <w:lang w:val="en-GB"/>
        </w:rPr>
        <w:t>ing</w:t>
      </w:r>
      <w:r w:rsidR="001579FF" w:rsidRPr="00D177A4">
        <w:rPr>
          <w:sz w:val="28"/>
          <w:szCs w:val="28"/>
          <w:lang w:val="en-GB"/>
        </w:rPr>
        <w:t xml:space="preserve"> </w:t>
      </w:r>
      <w:r w:rsidR="00467C48" w:rsidRPr="00D177A4">
        <w:rPr>
          <w:sz w:val="28"/>
          <w:szCs w:val="28"/>
          <w:lang w:val="en-GB"/>
        </w:rPr>
        <w:t xml:space="preserve">it </w:t>
      </w:r>
      <w:r w:rsidR="001579FF" w:rsidRPr="00D177A4">
        <w:rPr>
          <w:sz w:val="28"/>
          <w:szCs w:val="28"/>
          <w:lang w:val="en-GB"/>
        </w:rPr>
        <w:t xml:space="preserve">in creating </w:t>
      </w:r>
      <w:r w:rsidR="00467C48" w:rsidRPr="00D177A4">
        <w:rPr>
          <w:sz w:val="28"/>
          <w:szCs w:val="28"/>
          <w:lang w:val="en-GB"/>
        </w:rPr>
        <w:t xml:space="preserve">harmony and </w:t>
      </w:r>
      <w:r w:rsidR="001579FF" w:rsidRPr="00D177A4">
        <w:rPr>
          <w:sz w:val="28"/>
          <w:szCs w:val="28"/>
          <w:lang w:val="en-GB"/>
        </w:rPr>
        <w:t xml:space="preserve">mutual understanding. </w:t>
      </w:r>
    </w:p>
    <w:p w:rsidR="00380D36" w:rsidRPr="00D177A4" w:rsidRDefault="00961428" w:rsidP="00961428">
      <w:pPr>
        <w:spacing w:line="360" w:lineRule="auto"/>
        <w:jc w:val="both"/>
        <w:rPr>
          <w:sz w:val="28"/>
          <w:szCs w:val="28"/>
          <w:lang w:val="en-GB"/>
        </w:rPr>
      </w:pPr>
      <w:r w:rsidRPr="00D177A4">
        <w:rPr>
          <w:sz w:val="28"/>
          <w:szCs w:val="28"/>
          <w:lang w:val="en-GB"/>
        </w:rPr>
        <w:t xml:space="preserve">   In the first sense </w:t>
      </w:r>
      <w:r w:rsidR="00380D36" w:rsidRPr="00D177A4">
        <w:rPr>
          <w:sz w:val="28"/>
          <w:szCs w:val="28"/>
          <w:lang w:val="en-GB"/>
        </w:rPr>
        <w:t>trust</w:t>
      </w:r>
      <w:r w:rsidR="001579FF" w:rsidRPr="00D177A4">
        <w:rPr>
          <w:sz w:val="28"/>
          <w:szCs w:val="28"/>
          <w:lang w:val="en-GB"/>
        </w:rPr>
        <w:t xml:space="preserve"> </w:t>
      </w:r>
      <w:r w:rsidRPr="00D177A4">
        <w:rPr>
          <w:sz w:val="28"/>
          <w:szCs w:val="28"/>
          <w:lang w:val="en-GB"/>
        </w:rPr>
        <w:t xml:space="preserve">is </w:t>
      </w:r>
      <w:r w:rsidR="00380D36" w:rsidRPr="00D177A4">
        <w:rPr>
          <w:sz w:val="28"/>
          <w:szCs w:val="28"/>
          <w:lang w:val="en-GB"/>
        </w:rPr>
        <w:t>not absolute. It differs between the involved actors and the l</w:t>
      </w:r>
      <w:r w:rsidRPr="00D177A4">
        <w:rPr>
          <w:sz w:val="28"/>
          <w:szCs w:val="28"/>
          <w:lang w:val="en-GB"/>
        </w:rPr>
        <w:t>imits of norms and regulations.</w:t>
      </w:r>
      <w:r w:rsidR="00B718D9" w:rsidRPr="00D177A4">
        <w:rPr>
          <w:rStyle w:val="Fotnotsreferens"/>
          <w:sz w:val="28"/>
          <w:szCs w:val="28"/>
          <w:lang w:val="sv-SE"/>
        </w:rPr>
        <w:footnoteReference w:id="13"/>
      </w:r>
      <w:r w:rsidR="009F66DA" w:rsidRPr="00D177A4">
        <w:rPr>
          <w:sz w:val="28"/>
          <w:szCs w:val="28"/>
          <w:lang w:val="en-GB"/>
        </w:rPr>
        <w:t xml:space="preserve"> </w:t>
      </w:r>
      <w:r w:rsidR="00380D36" w:rsidRPr="00D177A4">
        <w:rPr>
          <w:sz w:val="28"/>
          <w:szCs w:val="28"/>
          <w:lang w:val="en-GB"/>
        </w:rPr>
        <w:t>Some relations are more trustworthy than others.</w:t>
      </w:r>
      <w:r w:rsidR="001579FF" w:rsidRPr="00D177A4">
        <w:rPr>
          <w:sz w:val="28"/>
          <w:szCs w:val="28"/>
          <w:lang w:val="en-GB"/>
        </w:rPr>
        <w:t xml:space="preserve"> </w:t>
      </w:r>
      <w:r w:rsidR="00467C48" w:rsidRPr="00D177A4">
        <w:rPr>
          <w:sz w:val="28"/>
          <w:szCs w:val="28"/>
          <w:lang w:val="en-GB"/>
        </w:rPr>
        <w:t>In the second sense</w:t>
      </w:r>
      <w:r w:rsidRPr="00D177A4">
        <w:rPr>
          <w:sz w:val="28"/>
          <w:szCs w:val="28"/>
          <w:lang w:val="en-GB"/>
        </w:rPr>
        <w:t xml:space="preserve"> trust is much farther reaching – even though it’s not absolute.</w:t>
      </w:r>
      <w:r w:rsidR="00467C48" w:rsidRPr="00D177A4">
        <w:rPr>
          <w:sz w:val="28"/>
          <w:szCs w:val="28"/>
          <w:lang w:val="en-GB"/>
        </w:rPr>
        <w:t xml:space="preserve"> </w:t>
      </w:r>
      <w:r w:rsidR="001579FF" w:rsidRPr="00D177A4">
        <w:rPr>
          <w:sz w:val="28"/>
          <w:szCs w:val="28"/>
          <w:lang w:val="en-GB"/>
        </w:rPr>
        <w:t xml:space="preserve">While the first concept assumes a perspective of conflict, the second concept </w:t>
      </w:r>
      <w:r w:rsidRPr="00D177A4">
        <w:rPr>
          <w:sz w:val="28"/>
          <w:szCs w:val="28"/>
          <w:lang w:val="en-GB"/>
        </w:rPr>
        <w:t xml:space="preserve">of trust </w:t>
      </w:r>
      <w:r w:rsidR="001579FF" w:rsidRPr="00D177A4">
        <w:rPr>
          <w:sz w:val="28"/>
          <w:szCs w:val="28"/>
          <w:lang w:val="en-GB"/>
        </w:rPr>
        <w:t>tries to create consensus.</w:t>
      </w:r>
      <w:r w:rsidR="00F750EA" w:rsidRPr="00D177A4">
        <w:rPr>
          <w:sz w:val="28"/>
          <w:szCs w:val="28"/>
          <w:lang w:val="en-GB"/>
        </w:rPr>
        <w:t xml:space="preserve"> </w:t>
      </w:r>
      <w:r w:rsidRPr="00D177A4">
        <w:rPr>
          <w:sz w:val="28"/>
          <w:szCs w:val="28"/>
          <w:lang w:val="en-GB"/>
        </w:rPr>
        <w:t>I</w:t>
      </w:r>
      <w:r w:rsidR="00F750EA" w:rsidRPr="00D177A4">
        <w:rPr>
          <w:sz w:val="28"/>
          <w:szCs w:val="28"/>
          <w:lang w:val="en-GB"/>
        </w:rPr>
        <w:t xml:space="preserve">n the source material the kind of concept </w:t>
      </w:r>
      <w:r w:rsidRPr="00D177A4">
        <w:rPr>
          <w:sz w:val="28"/>
          <w:szCs w:val="28"/>
          <w:lang w:val="en-GB"/>
        </w:rPr>
        <w:t xml:space="preserve">of trust </w:t>
      </w:r>
      <w:r w:rsidR="00F750EA" w:rsidRPr="00D177A4">
        <w:rPr>
          <w:sz w:val="28"/>
          <w:szCs w:val="28"/>
          <w:lang w:val="en-GB"/>
        </w:rPr>
        <w:t>is an empirical question and does no</w:t>
      </w:r>
      <w:r w:rsidR="008A5E1C" w:rsidRPr="00D177A4">
        <w:rPr>
          <w:sz w:val="28"/>
          <w:szCs w:val="28"/>
          <w:lang w:val="en-GB"/>
        </w:rPr>
        <w:t>t have to be seen in th</w:t>
      </w:r>
      <w:r w:rsidR="009E5122" w:rsidRPr="00D177A4">
        <w:rPr>
          <w:sz w:val="28"/>
          <w:szCs w:val="28"/>
          <w:lang w:val="en-GB"/>
        </w:rPr>
        <w:t>ese</w:t>
      </w:r>
      <w:r w:rsidR="008A5E1C" w:rsidRPr="00D177A4">
        <w:rPr>
          <w:sz w:val="28"/>
          <w:szCs w:val="28"/>
          <w:lang w:val="en-GB"/>
        </w:rPr>
        <w:t xml:space="preserve"> ideal</w:t>
      </w:r>
      <w:r w:rsidR="009E5122" w:rsidRPr="00D177A4">
        <w:rPr>
          <w:sz w:val="28"/>
          <w:szCs w:val="28"/>
          <w:lang w:val="en-GB"/>
        </w:rPr>
        <w:t xml:space="preserve"> </w:t>
      </w:r>
      <w:r w:rsidR="00F750EA" w:rsidRPr="00D177A4">
        <w:rPr>
          <w:sz w:val="28"/>
          <w:szCs w:val="28"/>
          <w:lang w:val="en-GB"/>
        </w:rPr>
        <w:t>typical forms as we image them here.</w:t>
      </w:r>
    </w:p>
    <w:p w:rsidR="00961428" w:rsidRPr="00D177A4" w:rsidRDefault="00961428" w:rsidP="00961428">
      <w:pPr>
        <w:spacing w:line="360" w:lineRule="auto"/>
        <w:jc w:val="both"/>
        <w:rPr>
          <w:sz w:val="28"/>
          <w:szCs w:val="28"/>
          <w:lang w:val="en-GB"/>
        </w:rPr>
      </w:pPr>
      <w:r w:rsidRPr="00D177A4">
        <w:rPr>
          <w:sz w:val="28"/>
          <w:szCs w:val="28"/>
          <w:lang w:val="en-GB"/>
        </w:rPr>
        <w:t xml:space="preserve">   Trust as a relation makes it possible </w:t>
      </w:r>
      <w:r w:rsidR="00380D36" w:rsidRPr="00D177A4">
        <w:rPr>
          <w:sz w:val="28"/>
          <w:szCs w:val="28"/>
          <w:lang w:val="en-GB"/>
        </w:rPr>
        <w:t xml:space="preserve">to understand the relation of trust as a </w:t>
      </w:r>
      <w:r w:rsidRPr="00D177A4">
        <w:rPr>
          <w:sz w:val="28"/>
          <w:szCs w:val="28"/>
          <w:lang w:val="en-GB"/>
        </w:rPr>
        <w:t xml:space="preserve">vertical </w:t>
      </w:r>
      <w:r w:rsidR="00380D36" w:rsidRPr="00D177A4">
        <w:rPr>
          <w:sz w:val="28"/>
          <w:szCs w:val="28"/>
          <w:lang w:val="en-GB"/>
        </w:rPr>
        <w:t xml:space="preserve">power relation, where one actor </w:t>
      </w:r>
      <w:r w:rsidR="00926CB3" w:rsidRPr="00D177A4">
        <w:rPr>
          <w:sz w:val="28"/>
          <w:szCs w:val="28"/>
          <w:lang w:val="en-GB"/>
        </w:rPr>
        <w:t xml:space="preserve">is more powerful than the other and has larger opportunities to influence the framework. We emphasis </w:t>
      </w:r>
      <w:r w:rsidRPr="00D177A4">
        <w:rPr>
          <w:sz w:val="28"/>
          <w:szCs w:val="28"/>
          <w:lang w:val="en-GB"/>
        </w:rPr>
        <w:t>vertical</w:t>
      </w:r>
      <w:r w:rsidR="00926CB3" w:rsidRPr="00D177A4">
        <w:rPr>
          <w:sz w:val="28"/>
          <w:szCs w:val="28"/>
          <w:lang w:val="en-GB"/>
        </w:rPr>
        <w:t xml:space="preserve"> relations of power and trust, without meaning all relations of trust to be unequal. </w:t>
      </w:r>
    </w:p>
    <w:p w:rsidR="009F4356" w:rsidRPr="00D177A4" w:rsidRDefault="00961428" w:rsidP="00961428">
      <w:pPr>
        <w:spacing w:line="360" w:lineRule="auto"/>
        <w:jc w:val="both"/>
        <w:rPr>
          <w:sz w:val="28"/>
          <w:szCs w:val="28"/>
          <w:lang w:val="en-GB"/>
        </w:rPr>
      </w:pPr>
      <w:r w:rsidRPr="00D177A4">
        <w:rPr>
          <w:sz w:val="28"/>
          <w:szCs w:val="28"/>
          <w:lang w:val="en-GB"/>
        </w:rPr>
        <w:t xml:space="preserve">   </w:t>
      </w:r>
      <w:r w:rsidR="00926CB3" w:rsidRPr="00D177A4">
        <w:rPr>
          <w:sz w:val="28"/>
          <w:szCs w:val="28"/>
          <w:lang w:val="en-GB"/>
        </w:rPr>
        <w:t>In the</w:t>
      </w:r>
      <w:r w:rsidRPr="00D177A4">
        <w:rPr>
          <w:sz w:val="28"/>
          <w:szCs w:val="28"/>
          <w:lang w:val="en-GB"/>
        </w:rPr>
        <w:t xml:space="preserve"> state of</w:t>
      </w:r>
      <w:r w:rsidR="00926CB3" w:rsidRPr="00D177A4">
        <w:rPr>
          <w:sz w:val="28"/>
          <w:szCs w:val="28"/>
          <w:lang w:val="en-GB"/>
        </w:rPr>
        <w:t xml:space="preserve"> research four types of concepts of power often are used: the power of decision, the power of agenda setting, hegemonic power and discursive power. The power of decision implies A’s power over B. This kind of power can also be studied as a</w:t>
      </w:r>
      <w:r w:rsidRPr="00D177A4">
        <w:rPr>
          <w:sz w:val="28"/>
          <w:szCs w:val="28"/>
          <w:lang w:val="en-GB"/>
        </w:rPr>
        <w:t xml:space="preserve"> vertical</w:t>
      </w:r>
      <w:r w:rsidR="00926CB3" w:rsidRPr="00D177A4">
        <w:rPr>
          <w:sz w:val="28"/>
          <w:szCs w:val="28"/>
          <w:lang w:val="en-GB"/>
        </w:rPr>
        <w:t xml:space="preserve"> power relation, where the </w:t>
      </w:r>
      <w:r w:rsidRPr="00D177A4">
        <w:rPr>
          <w:sz w:val="28"/>
          <w:szCs w:val="28"/>
          <w:lang w:val="en-GB"/>
        </w:rPr>
        <w:t xml:space="preserve">relation is built </w:t>
      </w:r>
      <w:r w:rsidR="00926CB3" w:rsidRPr="00D177A4">
        <w:rPr>
          <w:sz w:val="28"/>
          <w:szCs w:val="28"/>
          <w:lang w:val="en-GB"/>
        </w:rPr>
        <w:t xml:space="preserve">on </w:t>
      </w:r>
      <w:r w:rsidR="003B2694" w:rsidRPr="00D177A4">
        <w:rPr>
          <w:sz w:val="28"/>
          <w:szCs w:val="28"/>
          <w:lang w:val="en-GB"/>
        </w:rPr>
        <w:t xml:space="preserve">differences in power resources and on </w:t>
      </w:r>
      <w:r w:rsidR="00926CB3" w:rsidRPr="00D177A4">
        <w:rPr>
          <w:sz w:val="28"/>
          <w:szCs w:val="28"/>
          <w:lang w:val="en-GB"/>
        </w:rPr>
        <w:t xml:space="preserve">the possibility of mobilizing power resources. The power of agenda setting </w:t>
      </w:r>
      <w:r w:rsidR="003B2694" w:rsidRPr="00D177A4">
        <w:rPr>
          <w:sz w:val="28"/>
          <w:szCs w:val="28"/>
          <w:lang w:val="en-GB"/>
        </w:rPr>
        <w:t>deals with questions like: “</w:t>
      </w:r>
      <w:r w:rsidR="00926CB3" w:rsidRPr="00D177A4">
        <w:rPr>
          <w:sz w:val="28"/>
          <w:szCs w:val="28"/>
          <w:lang w:val="en-GB"/>
        </w:rPr>
        <w:t>Who has got power over the ag</w:t>
      </w:r>
      <w:r w:rsidR="001E11DB" w:rsidRPr="00D177A4">
        <w:rPr>
          <w:sz w:val="28"/>
          <w:szCs w:val="28"/>
          <w:lang w:val="en-GB"/>
        </w:rPr>
        <w:t>enda setting</w:t>
      </w:r>
      <w:r w:rsidR="003B2694" w:rsidRPr="00D177A4">
        <w:rPr>
          <w:sz w:val="28"/>
          <w:szCs w:val="28"/>
          <w:lang w:val="en-GB"/>
        </w:rPr>
        <w:t>?”</w:t>
      </w:r>
      <w:r w:rsidR="001E11DB" w:rsidRPr="00D177A4">
        <w:rPr>
          <w:sz w:val="28"/>
          <w:szCs w:val="28"/>
          <w:lang w:val="en-GB"/>
        </w:rPr>
        <w:t xml:space="preserve"> and </w:t>
      </w:r>
      <w:r w:rsidR="003B2694" w:rsidRPr="00D177A4">
        <w:rPr>
          <w:sz w:val="28"/>
          <w:szCs w:val="28"/>
          <w:lang w:val="en-GB"/>
        </w:rPr>
        <w:t>“W</w:t>
      </w:r>
      <w:r w:rsidR="001E11DB" w:rsidRPr="00D177A4">
        <w:rPr>
          <w:sz w:val="28"/>
          <w:szCs w:val="28"/>
          <w:lang w:val="en-GB"/>
        </w:rPr>
        <w:t>ho can define how a question will be discussed?</w:t>
      </w:r>
      <w:r w:rsidR="003B2694" w:rsidRPr="00D177A4">
        <w:rPr>
          <w:sz w:val="28"/>
          <w:szCs w:val="28"/>
          <w:lang w:val="en-GB"/>
        </w:rPr>
        <w:t>”</w:t>
      </w:r>
      <w:r w:rsidR="001E11DB" w:rsidRPr="00D177A4">
        <w:rPr>
          <w:sz w:val="28"/>
          <w:szCs w:val="28"/>
          <w:lang w:val="en-GB"/>
        </w:rPr>
        <w:t xml:space="preserve"> </w:t>
      </w:r>
    </w:p>
    <w:p w:rsidR="00E60092" w:rsidRPr="00D177A4" w:rsidRDefault="009F4356" w:rsidP="009F66DA">
      <w:pPr>
        <w:spacing w:line="360" w:lineRule="auto"/>
        <w:jc w:val="both"/>
        <w:rPr>
          <w:sz w:val="28"/>
          <w:szCs w:val="28"/>
          <w:lang w:val="en-GB"/>
        </w:rPr>
      </w:pPr>
      <w:r w:rsidRPr="00D177A4">
        <w:rPr>
          <w:sz w:val="28"/>
          <w:szCs w:val="28"/>
          <w:lang w:val="en-GB"/>
        </w:rPr>
        <w:t xml:space="preserve">   </w:t>
      </w:r>
      <w:r w:rsidR="001E11DB" w:rsidRPr="00D177A4">
        <w:rPr>
          <w:sz w:val="28"/>
          <w:szCs w:val="28"/>
          <w:lang w:val="en-GB"/>
        </w:rPr>
        <w:t xml:space="preserve">The concept </w:t>
      </w:r>
      <w:r w:rsidRPr="00D177A4">
        <w:rPr>
          <w:sz w:val="28"/>
          <w:szCs w:val="28"/>
          <w:lang w:val="en-GB"/>
        </w:rPr>
        <w:t xml:space="preserve">of </w:t>
      </w:r>
      <w:r w:rsidR="001E11DB" w:rsidRPr="00D177A4">
        <w:rPr>
          <w:sz w:val="28"/>
          <w:szCs w:val="28"/>
          <w:lang w:val="en-GB"/>
        </w:rPr>
        <w:t xml:space="preserve">hegemonic power </w:t>
      </w:r>
      <w:r w:rsidR="003B2694" w:rsidRPr="00D177A4">
        <w:rPr>
          <w:sz w:val="28"/>
          <w:szCs w:val="28"/>
          <w:lang w:val="en-GB"/>
        </w:rPr>
        <w:t xml:space="preserve">is connected </w:t>
      </w:r>
      <w:r w:rsidR="001E11DB" w:rsidRPr="00D177A4">
        <w:rPr>
          <w:sz w:val="28"/>
          <w:szCs w:val="28"/>
          <w:lang w:val="en-GB"/>
        </w:rPr>
        <w:t xml:space="preserve">to the theoretical concepts of the Italian Marxist Antonio Gramsci. In a power relation one actor can achieve advantage to a degree the relation becomes hegemonic. Then the superior party broadly speaking can set the system of rules and rule through approval </w:t>
      </w:r>
      <w:r w:rsidR="009E5122" w:rsidRPr="00D177A4">
        <w:rPr>
          <w:sz w:val="28"/>
          <w:szCs w:val="28"/>
          <w:lang w:val="en-GB"/>
        </w:rPr>
        <w:t>so</w:t>
      </w:r>
      <w:r w:rsidR="001E11DB" w:rsidRPr="00D177A4">
        <w:rPr>
          <w:sz w:val="28"/>
          <w:szCs w:val="28"/>
          <w:lang w:val="en-GB"/>
        </w:rPr>
        <w:t xml:space="preserve"> long as the parties follow the system of rules. </w:t>
      </w:r>
      <w:r w:rsidR="003B2694" w:rsidRPr="00D177A4">
        <w:rPr>
          <w:sz w:val="28"/>
          <w:szCs w:val="28"/>
          <w:lang w:val="en-GB"/>
        </w:rPr>
        <w:t>At last, discursive power is equivalent to the power of language. In this article we especially will discuss hegemonic power, and we use the concept apart from the theoretical views of Gramsci.</w:t>
      </w:r>
      <w:r w:rsidR="00A845D0" w:rsidRPr="00D177A4">
        <w:rPr>
          <w:rStyle w:val="Fotnotsreferens"/>
          <w:sz w:val="28"/>
          <w:szCs w:val="28"/>
          <w:lang w:val="sv-SE"/>
        </w:rPr>
        <w:footnoteReference w:id="14"/>
      </w:r>
    </w:p>
    <w:p w:rsidR="00F66CF9" w:rsidRPr="00D177A4" w:rsidRDefault="00763FC1" w:rsidP="009F66DA">
      <w:pPr>
        <w:spacing w:line="360" w:lineRule="auto"/>
        <w:jc w:val="both"/>
        <w:rPr>
          <w:sz w:val="28"/>
          <w:szCs w:val="28"/>
          <w:lang w:val="en-GB"/>
        </w:rPr>
      </w:pPr>
      <w:r w:rsidRPr="00D177A4">
        <w:rPr>
          <w:sz w:val="28"/>
          <w:szCs w:val="28"/>
          <w:lang w:val="en-GB"/>
        </w:rPr>
        <w:t xml:space="preserve"> </w:t>
      </w:r>
      <w:r w:rsidR="002F6641" w:rsidRPr="00D177A4">
        <w:rPr>
          <w:sz w:val="28"/>
          <w:szCs w:val="28"/>
          <w:lang w:val="en-GB"/>
        </w:rPr>
        <w:t xml:space="preserve">  Maintaining hegemony </w:t>
      </w:r>
      <w:r w:rsidR="001F7B9C" w:rsidRPr="00D177A4">
        <w:rPr>
          <w:sz w:val="28"/>
          <w:szCs w:val="28"/>
          <w:lang w:val="en-GB"/>
        </w:rPr>
        <w:t>pre</w:t>
      </w:r>
      <w:r w:rsidR="003B2694" w:rsidRPr="00D177A4">
        <w:rPr>
          <w:sz w:val="28"/>
          <w:szCs w:val="28"/>
          <w:lang w:val="en-GB"/>
        </w:rPr>
        <w:t>-</w:t>
      </w:r>
      <w:r w:rsidR="001F7B9C" w:rsidRPr="00D177A4">
        <w:rPr>
          <w:sz w:val="28"/>
          <w:szCs w:val="28"/>
          <w:lang w:val="en-GB"/>
        </w:rPr>
        <w:t xml:space="preserve">suppose </w:t>
      </w:r>
      <w:r w:rsidR="006A4C42" w:rsidRPr="00D177A4">
        <w:rPr>
          <w:sz w:val="28"/>
          <w:szCs w:val="28"/>
          <w:lang w:val="en-GB"/>
        </w:rPr>
        <w:t>the actors to accept the f</w:t>
      </w:r>
      <w:r w:rsidR="001F7B9C" w:rsidRPr="00D177A4">
        <w:rPr>
          <w:sz w:val="28"/>
          <w:szCs w:val="28"/>
          <w:lang w:val="en-GB"/>
        </w:rPr>
        <w:t>rames</w:t>
      </w:r>
      <w:r w:rsidR="006A4C42" w:rsidRPr="00D177A4">
        <w:rPr>
          <w:sz w:val="28"/>
          <w:szCs w:val="28"/>
          <w:lang w:val="en-GB"/>
        </w:rPr>
        <w:t>,</w:t>
      </w:r>
      <w:r w:rsidR="001F7B9C" w:rsidRPr="00D177A4">
        <w:rPr>
          <w:sz w:val="28"/>
          <w:szCs w:val="28"/>
          <w:lang w:val="en-GB"/>
        </w:rPr>
        <w:t xml:space="preserve"> even when the historical context is changed. </w:t>
      </w:r>
      <w:r w:rsidR="006A4C42" w:rsidRPr="00D177A4">
        <w:rPr>
          <w:sz w:val="28"/>
          <w:szCs w:val="28"/>
          <w:lang w:val="en-GB"/>
        </w:rPr>
        <w:t xml:space="preserve">Though, in some cases change </w:t>
      </w:r>
      <w:r w:rsidR="001F7B9C" w:rsidRPr="00D177A4">
        <w:rPr>
          <w:sz w:val="28"/>
          <w:szCs w:val="28"/>
          <w:lang w:val="en-GB"/>
        </w:rPr>
        <w:t xml:space="preserve">can result in </w:t>
      </w:r>
      <w:r w:rsidR="006A4C42" w:rsidRPr="00D177A4">
        <w:rPr>
          <w:sz w:val="28"/>
          <w:szCs w:val="28"/>
          <w:lang w:val="en-GB"/>
        </w:rPr>
        <w:t xml:space="preserve">the </w:t>
      </w:r>
      <w:r w:rsidR="001F7B9C" w:rsidRPr="00D177A4">
        <w:rPr>
          <w:sz w:val="28"/>
          <w:szCs w:val="28"/>
          <w:lang w:val="en-GB"/>
        </w:rPr>
        <w:t xml:space="preserve">violation of hegemony. </w:t>
      </w:r>
      <w:r w:rsidR="006A4C42" w:rsidRPr="00D177A4">
        <w:rPr>
          <w:sz w:val="28"/>
          <w:szCs w:val="28"/>
          <w:lang w:val="en-GB"/>
        </w:rPr>
        <w:t>A way of understand</w:t>
      </w:r>
      <w:r w:rsidR="008A5E1C" w:rsidRPr="00D177A4">
        <w:rPr>
          <w:sz w:val="28"/>
          <w:szCs w:val="28"/>
          <w:lang w:val="en-GB"/>
        </w:rPr>
        <w:t>ing</w:t>
      </w:r>
      <w:r w:rsidR="006A4C42" w:rsidRPr="00D177A4">
        <w:rPr>
          <w:sz w:val="28"/>
          <w:szCs w:val="28"/>
          <w:lang w:val="en-GB"/>
        </w:rPr>
        <w:t xml:space="preserve"> hegemony</w:t>
      </w:r>
      <w:r w:rsidR="008A5E1C" w:rsidRPr="00D177A4">
        <w:rPr>
          <w:sz w:val="28"/>
          <w:szCs w:val="28"/>
          <w:lang w:val="en-GB"/>
        </w:rPr>
        <w:t>,</w:t>
      </w:r>
      <w:r w:rsidR="006A4C42" w:rsidRPr="00D177A4">
        <w:rPr>
          <w:sz w:val="28"/>
          <w:szCs w:val="28"/>
          <w:lang w:val="en-GB"/>
        </w:rPr>
        <w:t xml:space="preserve"> and especially the paternalistic relation in a company</w:t>
      </w:r>
      <w:r w:rsidR="008A5E1C" w:rsidRPr="00D177A4">
        <w:rPr>
          <w:sz w:val="28"/>
          <w:szCs w:val="28"/>
          <w:lang w:val="en-GB"/>
        </w:rPr>
        <w:t>,</w:t>
      </w:r>
      <w:r w:rsidR="006A4C42" w:rsidRPr="00D177A4">
        <w:rPr>
          <w:sz w:val="28"/>
          <w:szCs w:val="28"/>
          <w:lang w:val="en-GB"/>
        </w:rPr>
        <w:t xml:space="preserve"> is to analyse the hegemonic relation as an unwritten contract</w:t>
      </w:r>
      <w:r w:rsidR="001F7B9C" w:rsidRPr="00D177A4">
        <w:rPr>
          <w:sz w:val="28"/>
          <w:szCs w:val="28"/>
          <w:lang w:val="en-GB"/>
        </w:rPr>
        <w:t xml:space="preserve"> </w:t>
      </w:r>
      <w:r w:rsidR="009F4356" w:rsidRPr="00D177A4">
        <w:rPr>
          <w:sz w:val="28"/>
          <w:szCs w:val="28"/>
          <w:lang w:val="en-GB"/>
        </w:rPr>
        <w:t xml:space="preserve">containing of </w:t>
      </w:r>
      <w:r w:rsidR="001F7B9C" w:rsidRPr="00D177A4">
        <w:rPr>
          <w:sz w:val="28"/>
          <w:szCs w:val="28"/>
          <w:lang w:val="en-GB"/>
        </w:rPr>
        <w:t xml:space="preserve">system of rules and norms. </w:t>
      </w:r>
      <w:r w:rsidR="008004BB" w:rsidRPr="00D177A4">
        <w:rPr>
          <w:sz w:val="28"/>
          <w:szCs w:val="28"/>
          <w:lang w:val="en-GB"/>
        </w:rPr>
        <w:t>As</w:t>
      </w:r>
      <w:r w:rsidR="001F7B9C" w:rsidRPr="00D177A4">
        <w:rPr>
          <w:sz w:val="28"/>
          <w:szCs w:val="28"/>
          <w:lang w:val="en-GB"/>
        </w:rPr>
        <w:t xml:space="preserve"> the parties act according to the</w:t>
      </w:r>
      <w:r w:rsidR="009F4356" w:rsidRPr="00D177A4">
        <w:rPr>
          <w:sz w:val="28"/>
          <w:szCs w:val="28"/>
          <w:lang w:val="en-GB"/>
        </w:rPr>
        <w:t>se</w:t>
      </w:r>
      <w:r w:rsidR="001F7B9C" w:rsidRPr="00D177A4">
        <w:rPr>
          <w:sz w:val="28"/>
          <w:szCs w:val="28"/>
          <w:lang w:val="en-GB"/>
        </w:rPr>
        <w:t xml:space="preserve"> conditions of the contract acting become</w:t>
      </w:r>
      <w:r w:rsidR="009F4356" w:rsidRPr="00D177A4">
        <w:rPr>
          <w:sz w:val="28"/>
          <w:szCs w:val="28"/>
          <w:lang w:val="en-GB"/>
        </w:rPr>
        <w:t>s</w:t>
      </w:r>
      <w:r w:rsidR="001F7B9C" w:rsidRPr="00D177A4">
        <w:rPr>
          <w:sz w:val="28"/>
          <w:szCs w:val="28"/>
          <w:lang w:val="en-GB"/>
        </w:rPr>
        <w:t xml:space="preserve"> calculable</w:t>
      </w:r>
      <w:r w:rsidR="008004BB" w:rsidRPr="00D177A4">
        <w:rPr>
          <w:sz w:val="28"/>
          <w:szCs w:val="28"/>
          <w:lang w:val="en-GB"/>
        </w:rPr>
        <w:t xml:space="preserve"> and trustworthy</w:t>
      </w:r>
      <w:r w:rsidR="001F7B9C" w:rsidRPr="00D177A4">
        <w:rPr>
          <w:sz w:val="28"/>
          <w:szCs w:val="28"/>
          <w:lang w:val="en-GB"/>
        </w:rPr>
        <w:t>. When the patriarchs and the companies attend the contract, the workers know what they can expect and their superior also can predict how the workers will act.</w:t>
      </w:r>
      <w:r w:rsidR="00F66CF9" w:rsidRPr="00D177A4">
        <w:rPr>
          <w:rStyle w:val="Fotnotsreferens"/>
          <w:sz w:val="28"/>
          <w:szCs w:val="28"/>
          <w:lang w:val="sv-SE"/>
        </w:rPr>
        <w:footnoteReference w:id="15"/>
      </w:r>
    </w:p>
    <w:p w:rsidR="008004BB" w:rsidRPr="00D177A4" w:rsidRDefault="008004BB" w:rsidP="009F66DA">
      <w:pPr>
        <w:spacing w:line="360" w:lineRule="auto"/>
        <w:jc w:val="both"/>
        <w:rPr>
          <w:sz w:val="28"/>
          <w:szCs w:val="28"/>
          <w:lang w:val="en-GB"/>
        </w:rPr>
      </w:pPr>
      <w:r w:rsidRPr="00D177A4">
        <w:rPr>
          <w:sz w:val="28"/>
          <w:szCs w:val="28"/>
          <w:lang w:val="en-GB"/>
        </w:rPr>
        <w:t xml:space="preserve">   A way of analysing trust in a hegemonic power relation we mean trust is conditioned. It only exist</w:t>
      </w:r>
      <w:r w:rsidR="008A5E1C" w:rsidRPr="00D177A4">
        <w:rPr>
          <w:sz w:val="28"/>
          <w:szCs w:val="28"/>
          <w:lang w:val="en-GB"/>
        </w:rPr>
        <w:t>s</w:t>
      </w:r>
      <w:r w:rsidRPr="00D177A4">
        <w:rPr>
          <w:sz w:val="28"/>
          <w:szCs w:val="28"/>
          <w:lang w:val="en-GB"/>
        </w:rPr>
        <w:t xml:space="preserve"> if both </w:t>
      </w:r>
      <w:r w:rsidR="003B6CF5" w:rsidRPr="00D177A4">
        <w:rPr>
          <w:sz w:val="28"/>
          <w:szCs w:val="28"/>
          <w:lang w:val="en-GB"/>
        </w:rPr>
        <w:t xml:space="preserve">parties fulfil their obligations. If one party breaks their commitments the actors are forced to make a new calculation of risks. </w:t>
      </w:r>
      <w:r w:rsidRPr="00D177A4">
        <w:rPr>
          <w:sz w:val="28"/>
          <w:szCs w:val="28"/>
          <w:lang w:val="en-GB"/>
        </w:rPr>
        <w:t xml:space="preserve">In this new calculation both actors </w:t>
      </w:r>
      <w:r w:rsidR="009E5122" w:rsidRPr="00D177A4">
        <w:rPr>
          <w:sz w:val="28"/>
          <w:szCs w:val="28"/>
          <w:lang w:val="en-GB"/>
        </w:rPr>
        <w:t>must</w:t>
      </w:r>
      <w:r w:rsidRPr="00D177A4">
        <w:rPr>
          <w:sz w:val="28"/>
          <w:szCs w:val="28"/>
          <w:lang w:val="en-GB"/>
        </w:rPr>
        <w:t xml:space="preserve"> relate to the cost of </w:t>
      </w:r>
      <w:r w:rsidR="009665BE" w:rsidRPr="00D177A4">
        <w:rPr>
          <w:sz w:val="28"/>
          <w:szCs w:val="28"/>
          <w:lang w:val="en-GB"/>
        </w:rPr>
        <w:t xml:space="preserve">the </w:t>
      </w:r>
      <w:r w:rsidRPr="00D177A4">
        <w:rPr>
          <w:sz w:val="28"/>
          <w:szCs w:val="28"/>
          <w:lang w:val="en-GB"/>
        </w:rPr>
        <w:t xml:space="preserve">breaking </w:t>
      </w:r>
      <w:r w:rsidR="009665BE" w:rsidRPr="00D177A4">
        <w:rPr>
          <w:sz w:val="28"/>
          <w:szCs w:val="28"/>
          <w:lang w:val="en-GB"/>
        </w:rPr>
        <w:t xml:space="preserve">of the relation and the possible insecurity in the future relations based on miss-trust. The offending actor have also to consider the possibility of how the offended party will react – if the actor will over-react against the break of the relation of trust. </w:t>
      </w:r>
    </w:p>
    <w:p w:rsidR="00132651" w:rsidRPr="00D177A4" w:rsidRDefault="009665BE" w:rsidP="00292B0A">
      <w:pPr>
        <w:spacing w:line="360" w:lineRule="auto"/>
        <w:jc w:val="both"/>
        <w:rPr>
          <w:sz w:val="28"/>
          <w:szCs w:val="28"/>
          <w:lang w:val="en-GB"/>
        </w:rPr>
      </w:pPr>
      <w:r w:rsidRPr="00D177A4">
        <w:rPr>
          <w:sz w:val="28"/>
          <w:szCs w:val="28"/>
          <w:lang w:val="en-GB"/>
        </w:rPr>
        <w:t xml:space="preserve">   Theoretically the concept of </w:t>
      </w:r>
      <w:r w:rsidR="00AD66E0" w:rsidRPr="00D177A4">
        <w:rPr>
          <w:sz w:val="28"/>
          <w:szCs w:val="28"/>
          <w:lang w:val="en-GB"/>
        </w:rPr>
        <w:t>“</w:t>
      </w:r>
      <w:r w:rsidRPr="00D177A4">
        <w:rPr>
          <w:sz w:val="28"/>
          <w:szCs w:val="28"/>
          <w:lang w:val="en-GB"/>
        </w:rPr>
        <w:t>deliverance</w:t>
      </w:r>
      <w:r w:rsidR="00AD66E0" w:rsidRPr="00D177A4">
        <w:rPr>
          <w:sz w:val="28"/>
          <w:szCs w:val="28"/>
          <w:lang w:val="en-GB"/>
        </w:rPr>
        <w:t>”</w:t>
      </w:r>
      <w:r w:rsidRPr="00D177A4">
        <w:rPr>
          <w:sz w:val="28"/>
          <w:szCs w:val="28"/>
          <w:lang w:val="en-GB"/>
        </w:rPr>
        <w:t xml:space="preserve"> – for example </w:t>
      </w:r>
      <w:r w:rsidR="00AD66E0" w:rsidRPr="00D177A4">
        <w:rPr>
          <w:sz w:val="28"/>
          <w:szCs w:val="28"/>
          <w:lang w:val="en-GB"/>
        </w:rPr>
        <w:t xml:space="preserve">of </w:t>
      </w:r>
      <w:r w:rsidRPr="00D177A4">
        <w:rPr>
          <w:sz w:val="28"/>
          <w:szCs w:val="28"/>
          <w:lang w:val="en-GB"/>
        </w:rPr>
        <w:t>welfare goods, identity, communion or success –</w:t>
      </w:r>
      <w:r w:rsidR="00AD66E0" w:rsidRPr="00D177A4">
        <w:rPr>
          <w:sz w:val="28"/>
          <w:szCs w:val="28"/>
          <w:lang w:val="en-GB"/>
        </w:rPr>
        <w:t xml:space="preserve"> is fundamental of the relations of trust. </w:t>
      </w:r>
      <w:r w:rsidR="003B6CF5" w:rsidRPr="00D177A4">
        <w:rPr>
          <w:sz w:val="28"/>
          <w:szCs w:val="28"/>
          <w:lang w:val="en-GB"/>
        </w:rPr>
        <w:t>The hegemonic r</w:t>
      </w:r>
      <w:r w:rsidR="009A6A3E" w:rsidRPr="00D177A4">
        <w:rPr>
          <w:sz w:val="28"/>
          <w:szCs w:val="28"/>
          <w:lang w:val="en-GB"/>
        </w:rPr>
        <w:t>elation is affected by the superior part</w:t>
      </w:r>
      <w:r w:rsidR="004F352E" w:rsidRPr="00D177A4">
        <w:rPr>
          <w:sz w:val="28"/>
          <w:szCs w:val="28"/>
          <w:lang w:val="en-GB"/>
        </w:rPr>
        <w:t>y’s</w:t>
      </w:r>
      <w:r w:rsidR="009A6A3E" w:rsidRPr="00D177A4">
        <w:rPr>
          <w:sz w:val="28"/>
          <w:szCs w:val="28"/>
          <w:lang w:val="en-GB"/>
        </w:rPr>
        <w:t xml:space="preserve"> skill </w:t>
      </w:r>
      <w:r w:rsidR="004F352E" w:rsidRPr="00D177A4">
        <w:rPr>
          <w:sz w:val="28"/>
          <w:szCs w:val="28"/>
          <w:lang w:val="en-GB"/>
        </w:rPr>
        <w:t>of</w:t>
      </w:r>
      <w:r w:rsidR="009A6A3E" w:rsidRPr="00D177A4">
        <w:rPr>
          <w:sz w:val="28"/>
          <w:szCs w:val="28"/>
          <w:lang w:val="en-GB"/>
        </w:rPr>
        <w:t xml:space="preserve"> deliverance</w:t>
      </w:r>
      <w:r w:rsidR="004F352E" w:rsidRPr="00D177A4">
        <w:rPr>
          <w:sz w:val="28"/>
          <w:szCs w:val="28"/>
          <w:lang w:val="en-GB"/>
        </w:rPr>
        <w:t xml:space="preserve">. </w:t>
      </w:r>
      <w:r w:rsidR="00AD66E0" w:rsidRPr="00D177A4">
        <w:rPr>
          <w:sz w:val="28"/>
          <w:szCs w:val="28"/>
          <w:lang w:val="en-GB"/>
        </w:rPr>
        <w:t>Lack of deliverance undermines trust.</w:t>
      </w:r>
      <w:r w:rsidR="004F352E" w:rsidRPr="00D177A4">
        <w:rPr>
          <w:sz w:val="28"/>
          <w:szCs w:val="28"/>
          <w:lang w:val="en-GB"/>
        </w:rPr>
        <w:t xml:space="preserve"> As the superior party deliver</w:t>
      </w:r>
      <w:r w:rsidR="009F4356" w:rsidRPr="00D177A4">
        <w:rPr>
          <w:sz w:val="28"/>
          <w:szCs w:val="28"/>
          <w:lang w:val="en-GB"/>
        </w:rPr>
        <w:t>s</w:t>
      </w:r>
      <w:r w:rsidR="009D731D" w:rsidRPr="00D177A4">
        <w:rPr>
          <w:sz w:val="28"/>
          <w:szCs w:val="28"/>
          <w:lang w:val="en-GB"/>
        </w:rPr>
        <w:t>,</w:t>
      </w:r>
      <w:r w:rsidR="004F352E" w:rsidRPr="00D177A4">
        <w:rPr>
          <w:sz w:val="28"/>
          <w:szCs w:val="28"/>
          <w:lang w:val="en-GB"/>
        </w:rPr>
        <w:t xml:space="preserve"> the power relation is “legitim</w:t>
      </w:r>
      <w:r w:rsidR="00BF56FF" w:rsidRPr="00D177A4">
        <w:rPr>
          <w:sz w:val="28"/>
          <w:szCs w:val="28"/>
          <w:lang w:val="en-GB"/>
        </w:rPr>
        <w:t>at</w:t>
      </w:r>
      <w:r w:rsidR="004F352E" w:rsidRPr="00D177A4">
        <w:rPr>
          <w:sz w:val="28"/>
          <w:szCs w:val="28"/>
          <w:lang w:val="en-GB"/>
        </w:rPr>
        <w:t xml:space="preserve">e”. In a paternalistic relation </w:t>
      </w:r>
      <w:r w:rsidR="00E201CB" w:rsidRPr="00D177A4">
        <w:rPr>
          <w:sz w:val="28"/>
          <w:szCs w:val="28"/>
          <w:lang w:val="en-GB"/>
        </w:rPr>
        <w:t>the workers accept the company regime as it supplies</w:t>
      </w:r>
      <w:r w:rsidR="00BF56FF" w:rsidRPr="00D177A4">
        <w:rPr>
          <w:sz w:val="28"/>
          <w:szCs w:val="28"/>
          <w:lang w:val="en-GB"/>
        </w:rPr>
        <w:t xml:space="preserve"> welfare, security and a cohe</w:t>
      </w:r>
      <w:r w:rsidR="00E201CB" w:rsidRPr="00D177A4">
        <w:rPr>
          <w:sz w:val="28"/>
          <w:szCs w:val="28"/>
          <w:lang w:val="en-GB"/>
        </w:rPr>
        <w:t>rent identity.</w:t>
      </w:r>
      <w:r w:rsidR="00132651" w:rsidRPr="00D177A4">
        <w:rPr>
          <w:rStyle w:val="Fotnotsreferens"/>
          <w:sz w:val="28"/>
          <w:szCs w:val="28"/>
          <w:lang w:val="sv-SE"/>
        </w:rPr>
        <w:footnoteReference w:id="16"/>
      </w:r>
      <w:r w:rsidR="00132651" w:rsidRPr="00D177A4">
        <w:rPr>
          <w:sz w:val="28"/>
          <w:szCs w:val="28"/>
          <w:lang w:val="en-GB"/>
        </w:rPr>
        <w:t xml:space="preserve"> </w:t>
      </w:r>
    </w:p>
    <w:p w:rsidR="00292B0A" w:rsidRPr="00D177A4" w:rsidRDefault="00E201CB" w:rsidP="00292B0A">
      <w:pPr>
        <w:spacing w:line="360" w:lineRule="auto"/>
        <w:jc w:val="both"/>
        <w:rPr>
          <w:sz w:val="28"/>
          <w:szCs w:val="28"/>
        </w:rPr>
      </w:pPr>
      <w:r w:rsidRPr="00D177A4">
        <w:rPr>
          <w:sz w:val="28"/>
          <w:szCs w:val="28"/>
          <w:lang w:val="en-GB"/>
        </w:rPr>
        <w:t xml:space="preserve">   In </w:t>
      </w:r>
      <w:r w:rsidR="009F4356" w:rsidRPr="00D177A4">
        <w:rPr>
          <w:sz w:val="28"/>
          <w:szCs w:val="28"/>
          <w:lang w:val="en-GB"/>
        </w:rPr>
        <w:t xml:space="preserve">the </w:t>
      </w:r>
      <w:r w:rsidRPr="00D177A4">
        <w:rPr>
          <w:sz w:val="28"/>
          <w:szCs w:val="28"/>
          <w:lang w:val="en-GB"/>
        </w:rPr>
        <w:t>social sciences the concept of trust not only will be discussed according to institutional rules and norms, but also from the perspective of legitimate action</w:t>
      </w:r>
      <w:r w:rsidR="00292B0A" w:rsidRPr="00D177A4">
        <w:rPr>
          <w:sz w:val="28"/>
          <w:szCs w:val="28"/>
          <w:lang w:val="en-GB"/>
        </w:rPr>
        <w:t>.</w:t>
      </w:r>
      <w:r w:rsidR="00292B0A" w:rsidRPr="00D177A4">
        <w:rPr>
          <w:rStyle w:val="Fotnotsreferens"/>
          <w:sz w:val="28"/>
          <w:szCs w:val="28"/>
          <w:lang w:val="sv-SE"/>
        </w:rPr>
        <w:footnoteReference w:id="17"/>
      </w:r>
      <w:r w:rsidR="00292B0A" w:rsidRPr="00D177A4">
        <w:rPr>
          <w:sz w:val="28"/>
          <w:szCs w:val="28"/>
          <w:lang w:val="en-GB"/>
        </w:rPr>
        <w:t xml:space="preserve"> </w:t>
      </w:r>
      <w:r w:rsidRPr="00D177A4">
        <w:rPr>
          <w:sz w:val="28"/>
          <w:szCs w:val="28"/>
          <w:lang w:val="en-GB"/>
        </w:rPr>
        <w:t>Legitimacy can be viewed in two ways. Firstly, action is governed by norms and system of rules. Secondly, the skill of deliverance creates trust. In this case the subordinate party just as in the paternalistic relation accept the power relation and can trust the relation per se.</w:t>
      </w:r>
      <w:r w:rsidR="00292B0A" w:rsidRPr="00D177A4">
        <w:rPr>
          <w:rStyle w:val="Fotnotsreferens"/>
          <w:sz w:val="28"/>
          <w:szCs w:val="28"/>
          <w:lang w:val="sv-SE"/>
        </w:rPr>
        <w:footnoteReference w:id="18"/>
      </w:r>
      <w:r w:rsidR="00E44C80" w:rsidRPr="00D177A4">
        <w:rPr>
          <w:sz w:val="28"/>
          <w:szCs w:val="28"/>
          <w:lang w:val="en-GB"/>
        </w:rPr>
        <w:t xml:space="preserve"> </w:t>
      </w:r>
      <w:r w:rsidRPr="00D177A4">
        <w:rPr>
          <w:sz w:val="28"/>
          <w:szCs w:val="28"/>
          <w:lang w:val="en-GB"/>
        </w:rPr>
        <w:t xml:space="preserve">In </w:t>
      </w:r>
      <w:r w:rsidR="009D731D" w:rsidRPr="00D177A4">
        <w:rPr>
          <w:sz w:val="28"/>
          <w:szCs w:val="28"/>
          <w:lang w:val="en-GB"/>
        </w:rPr>
        <w:t xml:space="preserve">a </w:t>
      </w:r>
      <w:r w:rsidRPr="00D177A4">
        <w:rPr>
          <w:sz w:val="28"/>
          <w:szCs w:val="28"/>
          <w:lang w:val="en-GB"/>
        </w:rPr>
        <w:t>democratic organization the ruler</w:t>
      </w:r>
      <w:r w:rsidR="009D731D" w:rsidRPr="00D177A4">
        <w:rPr>
          <w:sz w:val="28"/>
          <w:szCs w:val="28"/>
          <w:lang w:val="en-GB"/>
        </w:rPr>
        <w:t>’s</w:t>
      </w:r>
      <w:r w:rsidRPr="00D177A4">
        <w:rPr>
          <w:sz w:val="28"/>
          <w:szCs w:val="28"/>
          <w:lang w:val="en-GB"/>
        </w:rPr>
        <w:t xml:space="preserve"> ability of delivering success makes the regime democratic and legitimate, even though the democratic power of the members is very limited.</w:t>
      </w:r>
      <w:r w:rsidR="00E44C80" w:rsidRPr="00D177A4">
        <w:rPr>
          <w:rStyle w:val="Fotnotsreferens"/>
          <w:sz w:val="28"/>
          <w:szCs w:val="28"/>
          <w:lang w:val="sv-SE"/>
        </w:rPr>
        <w:footnoteReference w:id="19"/>
      </w:r>
    </w:p>
    <w:p w:rsidR="009D731D" w:rsidRPr="00C27B19" w:rsidRDefault="009D731D" w:rsidP="00292B0A">
      <w:pPr>
        <w:spacing w:line="360" w:lineRule="auto"/>
        <w:jc w:val="both"/>
        <w:rPr>
          <w:sz w:val="28"/>
          <w:szCs w:val="28"/>
        </w:rPr>
      </w:pPr>
    </w:p>
    <w:p w:rsidR="009D731D" w:rsidRPr="009D731D" w:rsidRDefault="009D731D" w:rsidP="00292B0A">
      <w:pPr>
        <w:spacing w:line="360" w:lineRule="auto"/>
        <w:jc w:val="both"/>
        <w:rPr>
          <w:b/>
          <w:sz w:val="32"/>
          <w:szCs w:val="32"/>
        </w:rPr>
      </w:pPr>
      <w:r w:rsidRPr="009D731D">
        <w:rPr>
          <w:b/>
          <w:sz w:val="32"/>
          <w:szCs w:val="32"/>
        </w:rPr>
        <w:t xml:space="preserve">Trust </w:t>
      </w:r>
      <w:r>
        <w:rPr>
          <w:b/>
          <w:sz w:val="32"/>
          <w:szCs w:val="32"/>
        </w:rPr>
        <w:t>in</w:t>
      </w:r>
      <w:r w:rsidRPr="009D731D">
        <w:rPr>
          <w:b/>
          <w:sz w:val="32"/>
          <w:szCs w:val="32"/>
        </w:rPr>
        <w:t xml:space="preserve"> dependen</w:t>
      </w:r>
      <w:r>
        <w:rPr>
          <w:b/>
          <w:sz w:val="32"/>
          <w:szCs w:val="32"/>
        </w:rPr>
        <w:t>t relations</w:t>
      </w:r>
    </w:p>
    <w:p w:rsidR="0024012F" w:rsidRPr="00D177A4" w:rsidRDefault="009D731D" w:rsidP="00C31E9D">
      <w:pPr>
        <w:spacing w:line="360" w:lineRule="auto"/>
        <w:jc w:val="both"/>
        <w:rPr>
          <w:sz w:val="28"/>
          <w:szCs w:val="28"/>
          <w:lang w:val="en-GB"/>
        </w:rPr>
      </w:pPr>
      <w:r w:rsidRPr="00D177A4">
        <w:rPr>
          <w:sz w:val="28"/>
          <w:szCs w:val="28"/>
          <w:lang w:val="en-GB"/>
        </w:rPr>
        <w:t xml:space="preserve">What’s about trust in dependent relations? Can we talk about power relations if the purpose is to create consensus? Well, this is a very tricky question and our answer to a high degree tentative. Theoretically a dependent relation can be either vertical or horizontal. The vertical relation is </w:t>
      </w:r>
      <w:r w:rsidR="00C31E9D" w:rsidRPr="00D177A4">
        <w:rPr>
          <w:sz w:val="28"/>
          <w:szCs w:val="28"/>
          <w:lang w:val="en-GB"/>
        </w:rPr>
        <w:t xml:space="preserve">a </w:t>
      </w:r>
      <w:r w:rsidRPr="00D177A4">
        <w:rPr>
          <w:sz w:val="28"/>
          <w:szCs w:val="28"/>
          <w:lang w:val="en-GB"/>
        </w:rPr>
        <w:t xml:space="preserve">power relation, </w:t>
      </w:r>
      <w:r w:rsidR="00C31E9D" w:rsidRPr="00D177A4">
        <w:rPr>
          <w:sz w:val="28"/>
          <w:szCs w:val="28"/>
          <w:lang w:val="en-GB"/>
        </w:rPr>
        <w:t xml:space="preserve">where for example the farther rules the family. In the dependent relation the unwritten contract between </w:t>
      </w:r>
      <w:r w:rsidRPr="00D177A4">
        <w:rPr>
          <w:sz w:val="28"/>
          <w:szCs w:val="28"/>
          <w:lang w:val="en-GB"/>
        </w:rPr>
        <w:t xml:space="preserve">the parties can be viewed </w:t>
      </w:r>
      <w:r w:rsidR="00C31E9D" w:rsidRPr="00D177A4">
        <w:rPr>
          <w:sz w:val="28"/>
          <w:szCs w:val="28"/>
          <w:lang w:val="en-GB"/>
        </w:rPr>
        <w:t>differently</w:t>
      </w:r>
      <w:r w:rsidRPr="00D177A4">
        <w:rPr>
          <w:sz w:val="28"/>
          <w:szCs w:val="28"/>
          <w:lang w:val="en-GB"/>
        </w:rPr>
        <w:t xml:space="preserve">. </w:t>
      </w:r>
      <w:r w:rsidR="0024012F" w:rsidRPr="00D177A4">
        <w:rPr>
          <w:sz w:val="28"/>
          <w:szCs w:val="28"/>
          <w:lang w:val="en-GB"/>
        </w:rPr>
        <w:t>The relation is not conditioned in the same way as in the other concept</w:t>
      </w:r>
      <w:r w:rsidR="005B44EA" w:rsidRPr="00D177A4">
        <w:rPr>
          <w:sz w:val="28"/>
          <w:szCs w:val="28"/>
          <w:lang w:val="en-GB"/>
        </w:rPr>
        <w:t xml:space="preserve"> we have discussed above</w:t>
      </w:r>
      <w:r w:rsidR="0024012F" w:rsidRPr="00D177A4">
        <w:rPr>
          <w:sz w:val="28"/>
          <w:szCs w:val="28"/>
          <w:lang w:val="en-GB"/>
        </w:rPr>
        <w:t>. As the parties a</w:t>
      </w:r>
      <w:r w:rsidR="00BD4A3E" w:rsidRPr="00D177A4">
        <w:rPr>
          <w:sz w:val="28"/>
          <w:szCs w:val="28"/>
          <w:lang w:val="en-GB"/>
        </w:rPr>
        <w:t>re</w:t>
      </w:r>
      <w:r w:rsidR="0024012F" w:rsidRPr="00D177A4">
        <w:rPr>
          <w:sz w:val="28"/>
          <w:szCs w:val="28"/>
          <w:lang w:val="en-GB"/>
        </w:rPr>
        <w:t xml:space="preserve"> dependent of each other, they maintain the</w:t>
      </w:r>
      <w:r w:rsidR="00BD4A3E" w:rsidRPr="00D177A4">
        <w:rPr>
          <w:sz w:val="28"/>
          <w:szCs w:val="28"/>
          <w:lang w:val="en-GB"/>
        </w:rPr>
        <w:t>ir</w:t>
      </w:r>
      <w:r w:rsidR="0024012F" w:rsidRPr="00D177A4">
        <w:rPr>
          <w:sz w:val="28"/>
          <w:szCs w:val="28"/>
          <w:lang w:val="en-GB"/>
        </w:rPr>
        <w:t xml:space="preserve"> relation</w:t>
      </w:r>
      <w:r w:rsidR="009E5122" w:rsidRPr="00D177A4">
        <w:rPr>
          <w:sz w:val="28"/>
          <w:szCs w:val="28"/>
          <w:lang w:val="en-GB"/>
        </w:rPr>
        <w:t>. In addition, they</w:t>
      </w:r>
      <w:r w:rsidR="0024012F" w:rsidRPr="00D177A4">
        <w:rPr>
          <w:sz w:val="28"/>
          <w:szCs w:val="28"/>
          <w:lang w:val="en-GB"/>
        </w:rPr>
        <w:t xml:space="preserve"> also tr</w:t>
      </w:r>
      <w:r w:rsidR="009E5122" w:rsidRPr="00D177A4">
        <w:rPr>
          <w:sz w:val="28"/>
          <w:szCs w:val="28"/>
          <w:lang w:val="en-GB"/>
        </w:rPr>
        <w:t>y</w:t>
      </w:r>
      <w:r w:rsidR="0024012F" w:rsidRPr="00D177A4">
        <w:rPr>
          <w:sz w:val="28"/>
          <w:szCs w:val="28"/>
          <w:lang w:val="en-GB"/>
        </w:rPr>
        <w:t xml:space="preserve"> to expand the unwritten contract until the dependent relation finally is destroyed. </w:t>
      </w:r>
      <w:r w:rsidR="005B44EA" w:rsidRPr="00D177A4">
        <w:rPr>
          <w:sz w:val="28"/>
          <w:szCs w:val="28"/>
          <w:lang w:val="en-GB"/>
        </w:rPr>
        <w:t>Then, b</w:t>
      </w:r>
      <w:r w:rsidR="0024012F" w:rsidRPr="00D177A4">
        <w:rPr>
          <w:sz w:val="28"/>
          <w:szCs w:val="28"/>
          <w:lang w:val="en-GB"/>
        </w:rPr>
        <w:t xml:space="preserve">ecause of the mutual miss-trust it is very hard to re-establish a new unwritten contract. </w:t>
      </w:r>
      <w:r w:rsidR="005B44EA" w:rsidRPr="00D177A4">
        <w:rPr>
          <w:sz w:val="28"/>
          <w:szCs w:val="28"/>
          <w:lang w:val="en-GB"/>
        </w:rPr>
        <w:t>T</w:t>
      </w:r>
      <w:r w:rsidR="0024012F" w:rsidRPr="00D177A4">
        <w:rPr>
          <w:sz w:val="28"/>
          <w:szCs w:val="28"/>
          <w:lang w:val="en-GB"/>
        </w:rPr>
        <w:t xml:space="preserve">he relation is legitimate </w:t>
      </w:r>
      <w:r w:rsidR="009E5122" w:rsidRPr="00D177A4">
        <w:rPr>
          <w:sz w:val="28"/>
          <w:szCs w:val="28"/>
          <w:lang w:val="en-GB"/>
        </w:rPr>
        <w:t>so</w:t>
      </w:r>
      <w:r w:rsidR="0024012F" w:rsidRPr="00D177A4">
        <w:rPr>
          <w:sz w:val="28"/>
          <w:szCs w:val="28"/>
          <w:lang w:val="en-GB"/>
        </w:rPr>
        <w:t xml:space="preserve"> long as the dependent relation exists. That’</w:t>
      </w:r>
      <w:r w:rsidR="00313B64" w:rsidRPr="00D177A4">
        <w:rPr>
          <w:sz w:val="28"/>
          <w:szCs w:val="28"/>
          <w:lang w:val="en-GB"/>
        </w:rPr>
        <w:t>s why deliverance is not important.</w:t>
      </w:r>
    </w:p>
    <w:p w:rsidR="001B011A" w:rsidRPr="00D177A4" w:rsidRDefault="00313B64">
      <w:pPr>
        <w:spacing w:line="360" w:lineRule="auto"/>
        <w:jc w:val="both"/>
        <w:rPr>
          <w:sz w:val="28"/>
          <w:szCs w:val="28"/>
          <w:lang w:val="en-GB"/>
        </w:rPr>
      </w:pPr>
      <w:r w:rsidRPr="00D177A4">
        <w:rPr>
          <w:sz w:val="28"/>
          <w:szCs w:val="28"/>
          <w:lang w:val="en-GB"/>
        </w:rPr>
        <w:t xml:space="preserve">   We </w:t>
      </w:r>
      <w:r w:rsidR="00BD4A3E" w:rsidRPr="00D177A4">
        <w:rPr>
          <w:sz w:val="28"/>
          <w:szCs w:val="28"/>
          <w:lang w:val="en-GB"/>
        </w:rPr>
        <w:t xml:space="preserve">also </w:t>
      </w:r>
      <w:r w:rsidRPr="00D177A4">
        <w:rPr>
          <w:sz w:val="28"/>
          <w:szCs w:val="28"/>
          <w:lang w:val="en-GB"/>
        </w:rPr>
        <w:t>believe</w:t>
      </w:r>
      <w:r w:rsidR="00BD4A3E" w:rsidRPr="00D177A4">
        <w:rPr>
          <w:sz w:val="28"/>
          <w:szCs w:val="28"/>
          <w:lang w:val="en-GB"/>
        </w:rPr>
        <w:t xml:space="preserve"> the bonds between the parties are crucial for our understanding. The parties are connected to each other in a common destiny and perhaps also in a common past. With that kind of bonds</w:t>
      </w:r>
      <w:r w:rsidR="00763FC1" w:rsidRPr="00D177A4">
        <w:rPr>
          <w:sz w:val="28"/>
          <w:szCs w:val="28"/>
          <w:lang w:val="en-GB"/>
        </w:rPr>
        <w:t>,</w:t>
      </w:r>
      <w:r w:rsidR="00BD4A3E" w:rsidRPr="00D177A4">
        <w:rPr>
          <w:sz w:val="28"/>
          <w:szCs w:val="28"/>
          <w:lang w:val="en-GB"/>
        </w:rPr>
        <w:t xml:space="preserve"> the parties do not have to trust all actions of the counter-part</w:t>
      </w:r>
      <w:r w:rsidR="005B44EA" w:rsidRPr="00D177A4">
        <w:rPr>
          <w:sz w:val="28"/>
          <w:szCs w:val="28"/>
          <w:lang w:val="en-GB"/>
        </w:rPr>
        <w:t>s</w:t>
      </w:r>
      <w:r w:rsidR="00C31E9D" w:rsidRPr="00D177A4">
        <w:rPr>
          <w:sz w:val="28"/>
          <w:szCs w:val="28"/>
          <w:lang w:val="en-GB"/>
        </w:rPr>
        <w:t xml:space="preserve">. But, </w:t>
      </w:r>
      <w:r w:rsidR="00BD4A3E" w:rsidRPr="00D177A4">
        <w:rPr>
          <w:sz w:val="28"/>
          <w:szCs w:val="28"/>
          <w:lang w:val="en-GB"/>
        </w:rPr>
        <w:t xml:space="preserve">in the long run </w:t>
      </w:r>
      <w:r w:rsidR="00C31E9D" w:rsidRPr="00D177A4">
        <w:rPr>
          <w:sz w:val="28"/>
          <w:szCs w:val="28"/>
          <w:lang w:val="en-GB"/>
        </w:rPr>
        <w:t xml:space="preserve">they will </w:t>
      </w:r>
      <w:r w:rsidR="00BD4A3E" w:rsidRPr="00D177A4">
        <w:rPr>
          <w:sz w:val="28"/>
          <w:szCs w:val="28"/>
          <w:lang w:val="en-GB"/>
        </w:rPr>
        <w:t>maintain the</w:t>
      </w:r>
      <w:r w:rsidR="005B44EA" w:rsidRPr="00D177A4">
        <w:rPr>
          <w:sz w:val="28"/>
          <w:szCs w:val="28"/>
          <w:lang w:val="en-GB"/>
        </w:rPr>
        <w:t xml:space="preserve"> mutual</w:t>
      </w:r>
      <w:r w:rsidR="00BD4A3E" w:rsidRPr="00D177A4">
        <w:rPr>
          <w:sz w:val="28"/>
          <w:szCs w:val="28"/>
          <w:lang w:val="en-GB"/>
        </w:rPr>
        <w:t xml:space="preserve"> relation </w:t>
      </w:r>
      <w:r w:rsidR="009E5122" w:rsidRPr="00D177A4">
        <w:rPr>
          <w:sz w:val="28"/>
          <w:szCs w:val="28"/>
          <w:lang w:val="en-GB"/>
        </w:rPr>
        <w:t>so</w:t>
      </w:r>
      <w:r w:rsidR="00BD4A3E" w:rsidRPr="00D177A4">
        <w:rPr>
          <w:sz w:val="28"/>
          <w:szCs w:val="28"/>
          <w:lang w:val="en-GB"/>
        </w:rPr>
        <w:t xml:space="preserve"> long as the ties exists. Life-long identities as the ethnical identity or the national identity probably can be viewed in this way. </w:t>
      </w:r>
      <w:r w:rsidR="007A2C2F" w:rsidRPr="00D177A4">
        <w:rPr>
          <w:sz w:val="28"/>
          <w:szCs w:val="28"/>
          <w:lang w:val="en-GB"/>
        </w:rPr>
        <w:t xml:space="preserve">These identities are </w:t>
      </w:r>
      <w:r w:rsidR="0074156D" w:rsidRPr="00D177A4">
        <w:rPr>
          <w:sz w:val="28"/>
          <w:szCs w:val="28"/>
          <w:lang w:val="en-GB"/>
        </w:rPr>
        <w:t xml:space="preserve">mainly </w:t>
      </w:r>
      <w:r w:rsidR="007A2C2F" w:rsidRPr="00D177A4">
        <w:rPr>
          <w:sz w:val="28"/>
          <w:szCs w:val="28"/>
          <w:lang w:val="en-GB"/>
        </w:rPr>
        <w:t xml:space="preserve">horizontal, but </w:t>
      </w:r>
      <w:r w:rsidR="005B44EA" w:rsidRPr="00D177A4">
        <w:rPr>
          <w:sz w:val="28"/>
          <w:szCs w:val="28"/>
          <w:lang w:val="en-GB"/>
        </w:rPr>
        <w:t xml:space="preserve">some </w:t>
      </w:r>
      <w:r w:rsidR="007A2C2F" w:rsidRPr="00D177A4">
        <w:rPr>
          <w:sz w:val="28"/>
          <w:szCs w:val="28"/>
          <w:lang w:val="en-GB"/>
        </w:rPr>
        <w:t>vertical relations and identities</w:t>
      </w:r>
      <w:r w:rsidR="005B44EA" w:rsidRPr="00D177A4">
        <w:rPr>
          <w:sz w:val="28"/>
          <w:szCs w:val="28"/>
          <w:lang w:val="en-GB"/>
        </w:rPr>
        <w:t>,</w:t>
      </w:r>
      <w:r w:rsidR="007A2C2F" w:rsidRPr="00D177A4">
        <w:rPr>
          <w:sz w:val="28"/>
          <w:szCs w:val="28"/>
          <w:lang w:val="en-GB"/>
        </w:rPr>
        <w:t xml:space="preserve"> as for example some patriarchal relations</w:t>
      </w:r>
      <w:r w:rsidR="005B44EA" w:rsidRPr="00D177A4">
        <w:rPr>
          <w:sz w:val="28"/>
          <w:szCs w:val="28"/>
          <w:lang w:val="en-GB"/>
        </w:rPr>
        <w:t>,</w:t>
      </w:r>
      <w:r w:rsidR="007A2C2F" w:rsidRPr="00D177A4">
        <w:rPr>
          <w:sz w:val="28"/>
          <w:szCs w:val="28"/>
          <w:lang w:val="en-GB"/>
        </w:rPr>
        <w:t xml:space="preserve"> </w:t>
      </w:r>
      <w:r w:rsidR="005B44EA" w:rsidRPr="00D177A4">
        <w:rPr>
          <w:sz w:val="28"/>
          <w:szCs w:val="28"/>
          <w:lang w:val="en-GB"/>
        </w:rPr>
        <w:t>are of the same kind</w:t>
      </w:r>
      <w:r w:rsidR="007A2C2F" w:rsidRPr="00D177A4">
        <w:rPr>
          <w:sz w:val="28"/>
          <w:szCs w:val="28"/>
          <w:lang w:val="en-GB"/>
        </w:rPr>
        <w:t xml:space="preserve">. </w:t>
      </w:r>
    </w:p>
    <w:p w:rsidR="001B011A" w:rsidRPr="00D177A4" w:rsidRDefault="001B011A">
      <w:pPr>
        <w:spacing w:line="360" w:lineRule="auto"/>
        <w:jc w:val="both"/>
        <w:rPr>
          <w:sz w:val="28"/>
          <w:szCs w:val="28"/>
          <w:lang w:val="en-GB"/>
        </w:rPr>
      </w:pPr>
      <w:r w:rsidRPr="00D177A4">
        <w:rPr>
          <w:sz w:val="28"/>
          <w:szCs w:val="28"/>
          <w:lang w:val="en-GB"/>
        </w:rPr>
        <w:t xml:space="preserve">  </w:t>
      </w:r>
      <w:r w:rsidR="00B73C7E" w:rsidRPr="00D177A4">
        <w:rPr>
          <w:sz w:val="28"/>
          <w:szCs w:val="28"/>
          <w:lang w:val="en-GB"/>
        </w:rPr>
        <w:t xml:space="preserve">The belief in a common destiny </w:t>
      </w:r>
      <w:r w:rsidRPr="00D177A4">
        <w:rPr>
          <w:sz w:val="28"/>
          <w:szCs w:val="28"/>
          <w:lang w:val="en-GB"/>
        </w:rPr>
        <w:t xml:space="preserve">in a vertical </w:t>
      </w:r>
      <w:r w:rsidR="005B44EA" w:rsidRPr="00D177A4">
        <w:rPr>
          <w:sz w:val="28"/>
          <w:szCs w:val="28"/>
          <w:lang w:val="en-GB"/>
        </w:rPr>
        <w:t xml:space="preserve">power </w:t>
      </w:r>
      <w:r w:rsidRPr="00D177A4">
        <w:rPr>
          <w:sz w:val="28"/>
          <w:szCs w:val="28"/>
          <w:lang w:val="en-GB"/>
        </w:rPr>
        <w:t xml:space="preserve">relation – as a patriarchal relation – creates a sense of common interests, even if differences in economy, social and cultural position </w:t>
      </w:r>
      <w:r w:rsidR="00B275F6" w:rsidRPr="00D177A4">
        <w:rPr>
          <w:sz w:val="28"/>
          <w:szCs w:val="28"/>
          <w:lang w:val="en-GB"/>
        </w:rPr>
        <w:t>shows the limitations of the consensus relation. When the belief of the common destiny breaks the differences in position points out the</w:t>
      </w:r>
      <w:r w:rsidR="005B44EA" w:rsidRPr="00D177A4">
        <w:rPr>
          <w:sz w:val="28"/>
          <w:szCs w:val="28"/>
          <w:lang w:val="en-GB"/>
        </w:rPr>
        <w:t>se</w:t>
      </w:r>
      <w:r w:rsidR="00B275F6" w:rsidRPr="00D177A4">
        <w:rPr>
          <w:sz w:val="28"/>
          <w:szCs w:val="28"/>
          <w:lang w:val="en-GB"/>
        </w:rPr>
        <w:t xml:space="preserve"> different interests.  </w:t>
      </w:r>
      <w:r w:rsidRPr="00D177A4">
        <w:rPr>
          <w:sz w:val="28"/>
          <w:szCs w:val="28"/>
          <w:lang w:val="en-GB"/>
        </w:rPr>
        <w:t xml:space="preserve">  </w:t>
      </w:r>
    </w:p>
    <w:p w:rsidR="00313B64" w:rsidRPr="00D177A4" w:rsidRDefault="001B011A">
      <w:pPr>
        <w:spacing w:line="360" w:lineRule="auto"/>
        <w:jc w:val="both"/>
        <w:rPr>
          <w:sz w:val="28"/>
          <w:szCs w:val="28"/>
          <w:lang w:val="en-GB"/>
        </w:rPr>
      </w:pPr>
      <w:r w:rsidRPr="00D177A4">
        <w:rPr>
          <w:sz w:val="28"/>
          <w:szCs w:val="28"/>
          <w:lang w:val="en-GB"/>
        </w:rPr>
        <w:t xml:space="preserve">   </w:t>
      </w:r>
      <w:r w:rsidR="007A2C2F" w:rsidRPr="00D177A4">
        <w:rPr>
          <w:sz w:val="28"/>
          <w:szCs w:val="28"/>
          <w:lang w:val="en-GB"/>
        </w:rPr>
        <w:t>As our theoretical understanding in this matter is very tentative, we leave</w:t>
      </w:r>
      <w:r w:rsidR="005B44EA" w:rsidRPr="00D177A4">
        <w:rPr>
          <w:sz w:val="28"/>
          <w:szCs w:val="28"/>
          <w:lang w:val="en-GB"/>
        </w:rPr>
        <w:t xml:space="preserve"> the question alone for</w:t>
      </w:r>
      <w:r w:rsidR="007A2C2F" w:rsidRPr="00D177A4">
        <w:rPr>
          <w:sz w:val="28"/>
          <w:szCs w:val="28"/>
          <w:lang w:val="en-GB"/>
        </w:rPr>
        <w:t xml:space="preserve"> further discussion</w:t>
      </w:r>
      <w:r w:rsidR="005B44EA" w:rsidRPr="00D177A4">
        <w:rPr>
          <w:sz w:val="28"/>
          <w:szCs w:val="28"/>
          <w:lang w:val="en-GB"/>
        </w:rPr>
        <w:t>s</w:t>
      </w:r>
      <w:r w:rsidR="007A2C2F" w:rsidRPr="00D177A4">
        <w:rPr>
          <w:sz w:val="28"/>
          <w:szCs w:val="28"/>
          <w:lang w:val="en-GB"/>
        </w:rPr>
        <w:t>.</w:t>
      </w:r>
    </w:p>
    <w:p w:rsidR="009D731D" w:rsidRPr="00E201CB" w:rsidRDefault="009D731D">
      <w:pPr>
        <w:spacing w:line="360" w:lineRule="auto"/>
        <w:jc w:val="both"/>
        <w:rPr>
          <w:lang w:val="en-GB"/>
        </w:rPr>
      </w:pPr>
    </w:p>
    <w:p w:rsidR="000C71B2" w:rsidRPr="00BF56FF" w:rsidRDefault="00DE4625" w:rsidP="005550BA">
      <w:pPr>
        <w:pStyle w:val="Rubrik4"/>
        <w:rPr>
          <w:lang w:val="en-GB"/>
        </w:rPr>
      </w:pPr>
      <w:r w:rsidRPr="00BF56FF">
        <w:rPr>
          <w:lang w:val="en-GB"/>
        </w:rPr>
        <w:t>Trust, change and negotiations</w:t>
      </w:r>
    </w:p>
    <w:p w:rsidR="005550BA" w:rsidRPr="00D177A4" w:rsidRDefault="00B73C7E" w:rsidP="005550BA">
      <w:pPr>
        <w:spacing w:line="360" w:lineRule="auto"/>
        <w:jc w:val="both"/>
        <w:rPr>
          <w:sz w:val="28"/>
          <w:szCs w:val="28"/>
          <w:lang w:val="en-GB"/>
        </w:rPr>
      </w:pPr>
      <w:r w:rsidRPr="00D177A4">
        <w:rPr>
          <w:sz w:val="28"/>
          <w:szCs w:val="28"/>
          <w:lang w:val="en-GB"/>
        </w:rPr>
        <w:t xml:space="preserve">In both Japan and </w:t>
      </w:r>
      <w:r w:rsidR="00763FC1" w:rsidRPr="00D177A4">
        <w:rPr>
          <w:sz w:val="28"/>
          <w:szCs w:val="28"/>
          <w:lang w:val="en-GB"/>
        </w:rPr>
        <w:t xml:space="preserve">in </w:t>
      </w:r>
      <w:r w:rsidRPr="00D177A4">
        <w:rPr>
          <w:sz w:val="28"/>
          <w:szCs w:val="28"/>
          <w:lang w:val="en-GB"/>
        </w:rPr>
        <w:t xml:space="preserve">Sweden the paternalistic companies built hegemonic relations based on </w:t>
      </w:r>
      <w:r w:rsidR="005550BA" w:rsidRPr="00D177A4">
        <w:rPr>
          <w:sz w:val="28"/>
          <w:szCs w:val="28"/>
          <w:lang w:val="en-GB"/>
        </w:rPr>
        <w:t>informal contracts between superior and subordinate parties, who created institutionalized bonds making relations calculable. These close relations strengthened by their tenure. Very long length of service where common</w:t>
      </w:r>
      <w:r w:rsidRPr="00D177A4">
        <w:rPr>
          <w:sz w:val="28"/>
          <w:szCs w:val="28"/>
          <w:lang w:val="en-GB"/>
        </w:rPr>
        <w:t xml:space="preserve"> in both countries</w:t>
      </w:r>
      <w:r w:rsidR="005550BA" w:rsidRPr="00D177A4">
        <w:rPr>
          <w:sz w:val="28"/>
          <w:szCs w:val="28"/>
          <w:lang w:val="en-GB"/>
        </w:rPr>
        <w:t xml:space="preserve">. </w:t>
      </w:r>
      <w:r w:rsidRPr="00D177A4">
        <w:rPr>
          <w:sz w:val="28"/>
          <w:szCs w:val="28"/>
          <w:lang w:val="en-GB"/>
        </w:rPr>
        <w:t xml:space="preserve">Bonds were also </w:t>
      </w:r>
      <w:r w:rsidR="005550BA" w:rsidRPr="00D177A4">
        <w:rPr>
          <w:sz w:val="28"/>
          <w:szCs w:val="28"/>
          <w:lang w:val="en-GB"/>
        </w:rPr>
        <w:t>created by welfare gifts</w:t>
      </w:r>
      <w:r w:rsidRPr="00D177A4">
        <w:rPr>
          <w:sz w:val="28"/>
          <w:szCs w:val="28"/>
          <w:lang w:val="en-GB"/>
        </w:rPr>
        <w:t>, where the companies guaranteed safety and welfare</w:t>
      </w:r>
      <w:r w:rsidR="005550BA" w:rsidRPr="00D177A4">
        <w:rPr>
          <w:sz w:val="28"/>
          <w:szCs w:val="28"/>
          <w:lang w:val="en-GB"/>
        </w:rPr>
        <w:t>. Ant</w:t>
      </w:r>
      <w:r w:rsidR="00BF56FF" w:rsidRPr="00D177A4">
        <w:rPr>
          <w:sz w:val="28"/>
          <w:szCs w:val="28"/>
          <w:lang w:val="en-GB"/>
        </w:rPr>
        <w:t>h</w:t>
      </w:r>
      <w:r w:rsidR="005550BA" w:rsidRPr="00D177A4">
        <w:rPr>
          <w:sz w:val="28"/>
          <w:szCs w:val="28"/>
          <w:lang w:val="en-GB"/>
        </w:rPr>
        <w:t xml:space="preserve">ropologist Marcel Mauss argues gifts creates bonds. The pensions were gifts making the paternalistic relation legitimate and creating trust </w:t>
      </w:r>
      <w:r w:rsidR="00BF56FF" w:rsidRPr="00D177A4">
        <w:rPr>
          <w:sz w:val="28"/>
          <w:szCs w:val="28"/>
          <w:lang w:val="en-GB"/>
        </w:rPr>
        <w:t>in</w:t>
      </w:r>
      <w:r w:rsidR="005550BA" w:rsidRPr="00D177A4">
        <w:rPr>
          <w:sz w:val="28"/>
          <w:szCs w:val="28"/>
          <w:lang w:val="en-GB"/>
        </w:rPr>
        <w:t>to the paternalistic contracts.</w:t>
      </w:r>
      <w:r w:rsidR="004C6C26" w:rsidRPr="00D177A4">
        <w:rPr>
          <w:rStyle w:val="Fotnotsreferens"/>
          <w:sz w:val="28"/>
          <w:szCs w:val="28"/>
          <w:lang w:val="sv-SE"/>
        </w:rPr>
        <w:footnoteReference w:id="20"/>
      </w:r>
    </w:p>
    <w:p w:rsidR="004C6C26" w:rsidRPr="00D177A4" w:rsidRDefault="00BF56FF" w:rsidP="00BF56FF">
      <w:pPr>
        <w:spacing w:line="360" w:lineRule="auto"/>
        <w:jc w:val="both"/>
        <w:rPr>
          <w:sz w:val="28"/>
          <w:szCs w:val="28"/>
          <w:lang w:val="en-GB"/>
        </w:rPr>
      </w:pPr>
      <w:r w:rsidRPr="00D177A4">
        <w:rPr>
          <w:sz w:val="28"/>
          <w:szCs w:val="28"/>
          <w:lang w:val="en-GB"/>
        </w:rPr>
        <w:t xml:space="preserve">   The company also delivered identity and communion. Trust in the company, the work mates and the local community was combined with the emphasis on the family as organization and model of obedience – a model based on relations of trust. The paternalis</w:t>
      </w:r>
      <w:r w:rsidR="004E21C9" w:rsidRPr="00D177A4">
        <w:rPr>
          <w:sz w:val="28"/>
          <w:szCs w:val="28"/>
          <w:lang w:val="en-GB"/>
        </w:rPr>
        <w:t>t</w:t>
      </w:r>
      <w:r w:rsidRPr="00D177A4">
        <w:rPr>
          <w:sz w:val="28"/>
          <w:szCs w:val="28"/>
          <w:lang w:val="en-GB"/>
        </w:rPr>
        <w:t>ic rhetoric played an important role in legitimating the order of power in a way suitable for the relation of trust.</w:t>
      </w:r>
      <w:r w:rsidR="004C6C26" w:rsidRPr="00D177A4">
        <w:rPr>
          <w:rStyle w:val="Fotnotsreferens"/>
          <w:sz w:val="28"/>
          <w:szCs w:val="28"/>
          <w:lang w:val="sv-SE"/>
        </w:rPr>
        <w:footnoteReference w:id="21"/>
      </w:r>
    </w:p>
    <w:p w:rsidR="00610B4F" w:rsidRPr="00D177A4" w:rsidRDefault="00EF6F38" w:rsidP="00610B4F">
      <w:pPr>
        <w:spacing w:line="360" w:lineRule="auto"/>
        <w:jc w:val="both"/>
        <w:rPr>
          <w:sz w:val="28"/>
          <w:szCs w:val="28"/>
          <w:lang w:val="en-GB"/>
        </w:rPr>
      </w:pPr>
      <w:r w:rsidRPr="00D177A4">
        <w:rPr>
          <w:sz w:val="28"/>
          <w:szCs w:val="28"/>
          <w:lang w:val="en-GB"/>
        </w:rPr>
        <w:t xml:space="preserve">   In the late nineteenth </w:t>
      </w:r>
      <w:r w:rsidR="00494B67" w:rsidRPr="00D177A4">
        <w:rPr>
          <w:sz w:val="28"/>
          <w:szCs w:val="28"/>
          <w:lang w:val="en-GB"/>
        </w:rPr>
        <w:t>c</w:t>
      </w:r>
      <w:r w:rsidRPr="00D177A4">
        <w:rPr>
          <w:sz w:val="28"/>
          <w:szCs w:val="28"/>
          <w:lang w:val="en-GB"/>
        </w:rPr>
        <w:t>entury</w:t>
      </w:r>
      <w:r w:rsidR="009E5122" w:rsidRPr="00D177A4">
        <w:rPr>
          <w:sz w:val="28"/>
          <w:szCs w:val="28"/>
          <w:lang w:val="en-GB"/>
        </w:rPr>
        <w:t>,</w:t>
      </w:r>
      <w:r w:rsidRPr="00D177A4">
        <w:rPr>
          <w:sz w:val="28"/>
          <w:szCs w:val="28"/>
          <w:lang w:val="en-GB"/>
        </w:rPr>
        <w:t xml:space="preserve"> the paternalistic contracts in both countries were authoritarian, where the patriarchs – sometimes with harsh methods – disciplined the workers. In the early twentieth century </w:t>
      </w:r>
      <w:r w:rsidR="00610B4F" w:rsidRPr="00D177A4">
        <w:rPr>
          <w:sz w:val="28"/>
          <w:szCs w:val="28"/>
          <w:lang w:val="en-GB"/>
        </w:rPr>
        <w:t xml:space="preserve">these contracts broke. </w:t>
      </w:r>
    </w:p>
    <w:p w:rsidR="004C6C26" w:rsidRPr="00D177A4" w:rsidRDefault="0046657B" w:rsidP="0046657B">
      <w:pPr>
        <w:spacing w:line="360" w:lineRule="auto"/>
        <w:jc w:val="both"/>
        <w:rPr>
          <w:sz w:val="28"/>
          <w:szCs w:val="28"/>
          <w:lang w:val="en-GB"/>
        </w:rPr>
      </w:pPr>
      <w:r w:rsidRPr="00D177A4">
        <w:rPr>
          <w:sz w:val="28"/>
          <w:szCs w:val="28"/>
          <w:lang w:val="en-GB"/>
        </w:rPr>
        <w:t xml:space="preserve">This change depended partly on the </w:t>
      </w:r>
      <w:r w:rsidR="00610B4F" w:rsidRPr="00D177A4">
        <w:rPr>
          <w:sz w:val="28"/>
          <w:szCs w:val="28"/>
          <w:lang w:val="en-GB"/>
        </w:rPr>
        <w:t>Taylorism</w:t>
      </w:r>
      <w:r w:rsidR="004E21C9" w:rsidRPr="00D177A4">
        <w:rPr>
          <w:sz w:val="28"/>
          <w:szCs w:val="28"/>
          <w:lang w:val="en-GB"/>
        </w:rPr>
        <w:t xml:space="preserve"> forms of</w:t>
      </w:r>
      <w:r w:rsidRPr="00D177A4">
        <w:rPr>
          <w:sz w:val="28"/>
          <w:szCs w:val="28"/>
          <w:lang w:val="en-GB"/>
        </w:rPr>
        <w:t xml:space="preserve"> rationalizations, partly on the class conflicts and </w:t>
      </w:r>
      <w:r w:rsidR="00610B4F" w:rsidRPr="00D177A4">
        <w:rPr>
          <w:sz w:val="28"/>
          <w:szCs w:val="28"/>
          <w:lang w:val="en-GB"/>
        </w:rPr>
        <w:t xml:space="preserve">partly on the demands of </w:t>
      </w:r>
      <w:r w:rsidRPr="00D177A4">
        <w:rPr>
          <w:sz w:val="28"/>
          <w:szCs w:val="28"/>
          <w:lang w:val="en-GB"/>
        </w:rPr>
        <w:t>the trade union organisation</w:t>
      </w:r>
      <w:r w:rsidR="00610B4F" w:rsidRPr="00D177A4">
        <w:rPr>
          <w:sz w:val="28"/>
          <w:szCs w:val="28"/>
          <w:lang w:val="en-GB"/>
        </w:rPr>
        <w:t>s</w:t>
      </w:r>
      <w:r w:rsidRPr="00D177A4">
        <w:rPr>
          <w:sz w:val="28"/>
          <w:szCs w:val="28"/>
          <w:lang w:val="en-GB"/>
        </w:rPr>
        <w:t xml:space="preserve">. As the companies tried to re-establish </w:t>
      </w:r>
      <w:r w:rsidR="000D669F" w:rsidRPr="00D177A4">
        <w:rPr>
          <w:sz w:val="28"/>
          <w:szCs w:val="28"/>
          <w:lang w:val="en-GB"/>
        </w:rPr>
        <w:t>a</w:t>
      </w:r>
      <w:r w:rsidRPr="00D177A4">
        <w:rPr>
          <w:sz w:val="28"/>
          <w:szCs w:val="28"/>
          <w:lang w:val="en-GB"/>
        </w:rPr>
        <w:t xml:space="preserve"> renewed </w:t>
      </w:r>
      <w:r w:rsidR="00610B4F" w:rsidRPr="00D177A4">
        <w:rPr>
          <w:sz w:val="28"/>
          <w:szCs w:val="28"/>
          <w:lang w:val="en-GB"/>
        </w:rPr>
        <w:t xml:space="preserve">didactic </w:t>
      </w:r>
      <w:r w:rsidRPr="00D177A4">
        <w:rPr>
          <w:sz w:val="28"/>
          <w:szCs w:val="28"/>
          <w:lang w:val="en-GB"/>
        </w:rPr>
        <w:t xml:space="preserve">paternalist relation, they draw on the mechanisms of trust making as tight horizontal and vertical bonds of trust </w:t>
      </w:r>
      <w:r w:rsidR="000D669F" w:rsidRPr="00D177A4">
        <w:rPr>
          <w:sz w:val="28"/>
          <w:szCs w:val="28"/>
          <w:lang w:val="en-GB"/>
        </w:rPr>
        <w:t>as possible. In this formation of trust t</w:t>
      </w:r>
      <w:r w:rsidRPr="00D177A4">
        <w:rPr>
          <w:sz w:val="28"/>
          <w:szCs w:val="28"/>
          <w:lang w:val="en-GB"/>
        </w:rPr>
        <w:t xml:space="preserve">he introducing of </w:t>
      </w:r>
      <w:r w:rsidR="000D669F" w:rsidRPr="00D177A4">
        <w:rPr>
          <w:sz w:val="28"/>
          <w:szCs w:val="28"/>
          <w:lang w:val="en-GB"/>
        </w:rPr>
        <w:t xml:space="preserve">a </w:t>
      </w:r>
      <w:r w:rsidRPr="00D177A4">
        <w:rPr>
          <w:sz w:val="28"/>
          <w:szCs w:val="28"/>
          <w:lang w:val="en-GB"/>
        </w:rPr>
        <w:t xml:space="preserve">gift characterized welfare system, </w:t>
      </w:r>
      <w:r w:rsidR="000D669F" w:rsidRPr="00D177A4">
        <w:rPr>
          <w:sz w:val="28"/>
          <w:szCs w:val="28"/>
          <w:lang w:val="en-GB"/>
        </w:rPr>
        <w:t xml:space="preserve">was </w:t>
      </w:r>
      <w:r w:rsidRPr="00D177A4">
        <w:rPr>
          <w:sz w:val="28"/>
          <w:szCs w:val="28"/>
          <w:lang w:val="en-GB"/>
        </w:rPr>
        <w:t>tooled with durability and calculability.</w:t>
      </w:r>
      <w:r w:rsidR="000D669F" w:rsidRPr="00D177A4">
        <w:rPr>
          <w:sz w:val="28"/>
          <w:szCs w:val="28"/>
          <w:lang w:val="en-GB"/>
        </w:rPr>
        <w:t xml:space="preserve"> And some companies, mostly during the years from 20</w:t>
      </w:r>
      <w:r w:rsidR="000D669F" w:rsidRPr="00D177A4">
        <w:rPr>
          <w:sz w:val="28"/>
          <w:szCs w:val="28"/>
          <w:vertAlign w:val="superscript"/>
          <w:lang w:val="en-GB"/>
        </w:rPr>
        <w:t>th</w:t>
      </w:r>
      <w:r w:rsidR="000D669F" w:rsidRPr="00D177A4">
        <w:rPr>
          <w:sz w:val="28"/>
          <w:szCs w:val="28"/>
          <w:lang w:val="en-GB"/>
        </w:rPr>
        <w:t xml:space="preserve"> to the 60th especially in Japan, but also in </w:t>
      </w:r>
      <w:r w:rsidR="008A5E8C" w:rsidRPr="00D177A4">
        <w:rPr>
          <w:sz w:val="28"/>
          <w:szCs w:val="28"/>
          <w:lang w:val="en-GB"/>
        </w:rPr>
        <w:t xml:space="preserve">some of the foundry communities in </w:t>
      </w:r>
      <w:r w:rsidR="000D669F" w:rsidRPr="00D177A4">
        <w:rPr>
          <w:sz w:val="28"/>
          <w:szCs w:val="28"/>
          <w:lang w:val="en-GB"/>
        </w:rPr>
        <w:t>Sweden, succeeded in the creation of the belief in a common destiny, which shaped the possibilities of consensus-making.</w:t>
      </w:r>
      <w:r w:rsidR="004C6C26" w:rsidRPr="00D177A4">
        <w:rPr>
          <w:rStyle w:val="Fotnotsreferens"/>
          <w:sz w:val="28"/>
          <w:szCs w:val="28"/>
          <w:lang w:val="sv-SE"/>
        </w:rPr>
        <w:footnoteReference w:id="22"/>
      </w:r>
    </w:p>
    <w:p w:rsidR="00420DB4" w:rsidRPr="00D177A4" w:rsidRDefault="00420DB4">
      <w:pPr>
        <w:spacing w:line="360" w:lineRule="auto"/>
        <w:jc w:val="both"/>
        <w:rPr>
          <w:sz w:val="28"/>
          <w:szCs w:val="28"/>
          <w:lang w:val="en-GB"/>
        </w:rPr>
      </w:pPr>
      <w:r w:rsidRPr="00D177A4">
        <w:rPr>
          <w:sz w:val="28"/>
          <w:szCs w:val="28"/>
          <w:lang w:val="en-GB"/>
        </w:rPr>
        <w:t xml:space="preserve">   In those companies were trust was conditioned the historical change – especially in Sweden (both in other foundry communities and most of all in the urban industry) – affected the </w:t>
      </w:r>
      <w:r w:rsidR="0046657B" w:rsidRPr="00D177A4">
        <w:rPr>
          <w:sz w:val="28"/>
          <w:szCs w:val="28"/>
          <w:lang w:val="en-GB"/>
        </w:rPr>
        <w:t xml:space="preserve">possibilities </w:t>
      </w:r>
      <w:r w:rsidRPr="00D177A4">
        <w:rPr>
          <w:sz w:val="28"/>
          <w:szCs w:val="28"/>
          <w:lang w:val="en-GB"/>
        </w:rPr>
        <w:t>of</w:t>
      </w:r>
      <w:r w:rsidR="0046657B" w:rsidRPr="00D177A4">
        <w:rPr>
          <w:sz w:val="28"/>
          <w:szCs w:val="28"/>
          <w:lang w:val="en-GB"/>
        </w:rPr>
        <w:t xml:space="preserve"> deliver or fulfil the </w:t>
      </w:r>
      <w:r w:rsidR="000C263F" w:rsidRPr="00D177A4">
        <w:rPr>
          <w:sz w:val="28"/>
          <w:szCs w:val="28"/>
          <w:lang w:val="en-GB"/>
        </w:rPr>
        <w:t>terms</w:t>
      </w:r>
      <w:r w:rsidR="0046657B" w:rsidRPr="00D177A4">
        <w:rPr>
          <w:sz w:val="28"/>
          <w:szCs w:val="28"/>
          <w:lang w:val="en-GB"/>
        </w:rPr>
        <w:t xml:space="preserve"> of the contracts. As the parties were </w:t>
      </w:r>
      <w:r w:rsidR="000C263F" w:rsidRPr="00D177A4">
        <w:rPr>
          <w:sz w:val="28"/>
          <w:szCs w:val="28"/>
          <w:lang w:val="en-GB"/>
        </w:rPr>
        <w:t>unsatisfied with the terms of the contracts they tried to change them. Changing terms w</w:t>
      </w:r>
      <w:r w:rsidR="004E21C9" w:rsidRPr="00D177A4">
        <w:rPr>
          <w:sz w:val="28"/>
          <w:szCs w:val="28"/>
          <w:lang w:val="en-GB"/>
        </w:rPr>
        <w:t>ere</w:t>
      </w:r>
      <w:r w:rsidR="000C263F" w:rsidRPr="00D177A4">
        <w:rPr>
          <w:sz w:val="28"/>
          <w:szCs w:val="28"/>
          <w:lang w:val="en-GB"/>
        </w:rPr>
        <w:t xml:space="preserve"> possible to reach through discussions or action based on stretching the terms. In both cases we can talk of </w:t>
      </w:r>
      <w:r w:rsidRPr="00D177A4">
        <w:rPr>
          <w:sz w:val="28"/>
          <w:szCs w:val="28"/>
          <w:lang w:val="en-GB"/>
        </w:rPr>
        <w:t xml:space="preserve">informal negotiations of the conditions aimed to change the terms of the contract. </w:t>
      </w:r>
      <w:r w:rsidR="000C263F" w:rsidRPr="00D177A4">
        <w:rPr>
          <w:sz w:val="28"/>
          <w:szCs w:val="28"/>
          <w:lang w:val="en-GB"/>
        </w:rPr>
        <w:t xml:space="preserve">A contextual evaluation preceded the endeavour to re-establish good relations of trust, but based </w:t>
      </w:r>
      <w:r w:rsidRPr="00D177A4">
        <w:rPr>
          <w:sz w:val="28"/>
          <w:szCs w:val="28"/>
          <w:lang w:val="en-GB"/>
        </w:rPr>
        <w:t>on new terms and preconditions.</w:t>
      </w:r>
    </w:p>
    <w:p w:rsidR="00E87B13" w:rsidRPr="00D177A4" w:rsidRDefault="00420DB4">
      <w:pPr>
        <w:spacing w:line="360" w:lineRule="auto"/>
        <w:jc w:val="both"/>
        <w:rPr>
          <w:sz w:val="28"/>
          <w:szCs w:val="28"/>
          <w:lang w:val="en-GB"/>
        </w:rPr>
      </w:pPr>
      <w:r w:rsidRPr="00D177A4">
        <w:rPr>
          <w:sz w:val="28"/>
          <w:szCs w:val="28"/>
          <w:lang w:val="en-GB"/>
        </w:rPr>
        <w:t xml:space="preserve">   </w:t>
      </w:r>
      <w:r w:rsidR="000C263F" w:rsidRPr="00D177A4">
        <w:rPr>
          <w:sz w:val="28"/>
          <w:szCs w:val="28"/>
          <w:lang w:val="en-GB"/>
        </w:rPr>
        <w:t xml:space="preserve">In Sweden change was connected to an old culture of </w:t>
      </w:r>
      <w:r w:rsidR="00E22C67" w:rsidRPr="00D177A4">
        <w:rPr>
          <w:sz w:val="28"/>
          <w:szCs w:val="28"/>
          <w:lang w:val="en-GB"/>
        </w:rPr>
        <w:t xml:space="preserve">formal and informal </w:t>
      </w:r>
      <w:r w:rsidR="000C263F" w:rsidRPr="00D177A4">
        <w:rPr>
          <w:sz w:val="28"/>
          <w:szCs w:val="28"/>
          <w:lang w:val="en-GB"/>
        </w:rPr>
        <w:t xml:space="preserve">negotiations. </w:t>
      </w:r>
      <w:r w:rsidR="00E22C67" w:rsidRPr="00D177A4">
        <w:rPr>
          <w:sz w:val="28"/>
          <w:szCs w:val="28"/>
          <w:lang w:val="en-GB"/>
        </w:rPr>
        <w:t>During this period of change, the formal negotiations between the corporate management and the trade union officials became regular – for example in the collective bargaining system which set the norms from the 20</w:t>
      </w:r>
      <w:r w:rsidR="00E22C67" w:rsidRPr="00D177A4">
        <w:rPr>
          <w:sz w:val="28"/>
          <w:szCs w:val="28"/>
          <w:vertAlign w:val="superscript"/>
          <w:lang w:val="en-GB"/>
        </w:rPr>
        <w:t>th</w:t>
      </w:r>
      <w:r w:rsidR="00E22C67" w:rsidRPr="00D177A4">
        <w:rPr>
          <w:sz w:val="28"/>
          <w:szCs w:val="28"/>
          <w:lang w:val="en-GB"/>
        </w:rPr>
        <w:t>. A pre-condition for the negotiations was the strong emphasis in the working</w:t>
      </w:r>
      <w:r w:rsidR="00763FC1" w:rsidRPr="00D177A4">
        <w:rPr>
          <w:sz w:val="28"/>
          <w:szCs w:val="28"/>
          <w:lang w:val="en-GB"/>
        </w:rPr>
        <w:t>-</w:t>
      </w:r>
      <w:r w:rsidR="00E22C67" w:rsidRPr="00D177A4">
        <w:rPr>
          <w:sz w:val="28"/>
          <w:szCs w:val="28"/>
          <w:lang w:val="en-GB"/>
        </w:rPr>
        <w:t xml:space="preserve">class culture, already from the times of the early labour movement, on following signed contracts and to behave in a responsible way. Another important factor, was the ongoing development of a democratic practice in the trade unions, where the members mostly trusted their officials to negotiate in the best possible way. </w:t>
      </w:r>
      <w:r w:rsidR="00E87B13" w:rsidRPr="00D177A4">
        <w:rPr>
          <w:sz w:val="28"/>
          <w:szCs w:val="28"/>
          <w:lang w:val="en-GB"/>
        </w:rPr>
        <w:t xml:space="preserve">The trustees </w:t>
      </w:r>
      <w:r w:rsidR="00962134" w:rsidRPr="00D177A4">
        <w:rPr>
          <w:sz w:val="28"/>
          <w:szCs w:val="28"/>
          <w:lang w:val="en-GB"/>
        </w:rPr>
        <w:t xml:space="preserve">also </w:t>
      </w:r>
      <w:r w:rsidR="00E87B13" w:rsidRPr="00D177A4">
        <w:rPr>
          <w:sz w:val="28"/>
          <w:szCs w:val="28"/>
          <w:lang w:val="en-GB"/>
        </w:rPr>
        <w:t>often anchored their bids, which created a process of democratic legitimation of the process of negotiations</w:t>
      </w:r>
      <w:r w:rsidR="00962134" w:rsidRPr="00D177A4">
        <w:rPr>
          <w:sz w:val="28"/>
          <w:szCs w:val="28"/>
          <w:lang w:val="en-GB"/>
        </w:rPr>
        <w:t xml:space="preserve">. In a high degree this was </w:t>
      </w:r>
      <w:r w:rsidR="00E87B13" w:rsidRPr="00D177A4">
        <w:rPr>
          <w:sz w:val="28"/>
          <w:szCs w:val="28"/>
          <w:lang w:val="en-GB"/>
        </w:rPr>
        <w:t>based on a conditioned trust in the company. The workers trusted</w:t>
      </w:r>
      <w:r w:rsidR="00962134" w:rsidRPr="00D177A4">
        <w:rPr>
          <w:sz w:val="28"/>
          <w:szCs w:val="28"/>
          <w:lang w:val="en-GB"/>
        </w:rPr>
        <w:t xml:space="preserve"> – to a certain degree –</w:t>
      </w:r>
      <w:r w:rsidR="00E87B13" w:rsidRPr="00D177A4">
        <w:rPr>
          <w:sz w:val="28"/>
          <w:szCs w:val="28"/>
          <w:lang w:val="en-GB"/>
        </w:rPr>
        <w:t xml:space="preserve"> the company to fulfil </w:t>
      </w:r>
      <w:r w:rsidR="00E22C67" w:rsidRPr="00D177A4">
        <w:rPr>
          <w:sz w:val="28"/>
          <w:szCs w:val="28"/>
          <w:lang w:val="en-GB"/>
        </w:rPr>
        <w:t>its obliga</w:t>
      </w:r>
      <w:r w:rsidR="00E87B13" w:rsidRPr="00D177A4">
        <w:rPr>
          <w:sz w:val="28"/>
          <w:szCs w:val="28"/>
          <w:lang w:val="en-GB"/>
        </w:rPr>
        <w:t>tions</w:t>
      </w:r>
      <w:r w:rsidR="00E22C67" w:rsidRPr="00D177A4">
        <w:rPr>
          <w:sz w:val="28"/>
          <w:szCs w:val="28"/>
          <w:lang w:val="en-GB"/>
        </w:rPr>
        <w:t xml:space="preserve">. </w:t>
      </w:r>
      <w:r w:rsidR="00962134" w:rsidRPr="00D177A4">
        <w:rPr>
          <w:sz w:val="28"/>
          <w:szCs w:val="28"/>
          <w:lang w:val="en-GB"/>
        </w:rPr>
        <w:t>They</w:t>
      </w:r>
      <w:r w:rsidR="00E87B13" w:rsidRPr="00D177A4">
        <w:rPr>
          <w:sz w:val="28"/>
          <w:szCs w:val="28"/>
          <w:lang w:val="en-GB"/>
        </w:rPr>
        <w:t xml:space="preserve"> also assumed the play of negotiations was going to follow predetermined rules. </w:t>
      </w:r>
      <w:r w:rsidR="001A6BE1" w:rsidRPr="00D177A4">
        <w:rPr>
          <w:sz w:val="28"/>
          <w:szCs w:val="28"/>
          <w:lang w:val="en-GB"/>
        </w:rPr>
        <w:t>Both parties negotiated through their own interest.</w:t>
      </w:r>
      <w:r w:rsidR="00E87B13" w:rsidRPr="00D177A4">
        <w:rPr>
          <w:sz w:val="28"/>
          <w:szCs w:val="28"/>
          <w:lang w:val="en-GB"/>
        </w:rPr>
        <w:t xml:space="preserve"> </w:t>
      </w:r>
      <w:r w:rsidR="001A6BE1" w:rsidRPr="00D177A4">
        <w:rPr>
          <w:sz w:val="28"/>
          <w:szCs w:val="28"/>
          <w:lang w:val="en-GB"/>
        </w:rPr>
        <w:t>When the terms of the contracts were fulfilled the interests were overlapping.</w:t>
      </w:r>
      <w:r w:rsidR="00AF7E75" w:rsidRPr="00D177A4">
        <w:rPr>
          <w:rStyle w:val="Fotnotsreferens"/>
          <w:spacing w:val="-3"/>
          <w:sz w:val="28"/>
          <w:szCs w:val="28"/>
          <w:lang w:val="sv-SE"/>
        </w:rPr>
        <w:footnoteReference w:id="23"/>
      </w:r>
    </w:p>
    <w:p w:rsidR="00B73D58" w:rsidRPr="00D177A4" w:rsidRDefault="00EE50B5" w:rsidP="00EE50B5">
      <w:pPr>
        <w:spacing w:line="360" w:lineRule="auto"/>
        <w:jc w:val="both"/>
        <w:rPr>
          <w:sz w:val="28"/>
          <w:szCs w:val="28"/>
        </w:rPr>
      </w:pPr>
      <w:r w:rsidRPr="00D177A4">
        <w:rPr>
          <w:sz w:val="28"/>
          <w:szCs w:val="28"/>
          <w:lang w:val="en-GB"/>
        </w:rPr>
        <w:t xml:space="preserve">   Outside the factory gates you could see </w:t>
      </w:r>
      <w:r w:rsidR="00E22C67" w:rsidRPr="00D177A4">
        <w:rPr>
          <w:sz w:val="28"/>
          <w:szCs w:val="28"/>
          <w:lang w:val="en-GB"/>
        </w:rPr>
        <w:t>obvious differences</w:t>
      </w:r>
      <w:r w:rsidR="001A6BE1" w:rsidRPr="00D177A4">
        <w:rPr>
          <w:sz w:val="28"/>
          <w:szCs w:val="28"/>
          <w:lang w:val="en-GB"/>
        </w:rPr>
        <w:t xml:space="preserve"> </w:t>
      </w:r>
      <w:r w:rsidRPr="00D177A4">
        <w:rPr>
          <w:sz w:val="28"/>
          <w:szCs w:val="28"/>
          <w:lang w:val="en-GB"/>
        </w:rPr>
        <w:t xml:space="preserve">between the parties. </w:t>
      </w:r>
      <w:r w:rsidR="001A6BE1" w:rsidRPr="00D177A4">
        <w:rPr>
          <w:sz w:val="28"/>
          <w:szCs w:val="28"/>
          <w:lang w:val="en-GB"/>
        </w:rPr>
        <w:t xml:space="preserve">In politics the paternalistic employers supported the conservative or the </w:t>
      </w:r>
      <w:r w:rsidR="00962134" w:rsidRPr="00D177A4">
        <w:rPr>
          <w:sz w:val="28"/>
          <w:szCs w:val="28"/>
          <w:lang w:val="en-GB"/>
        </w:rPr>
        <w:t>liberal political parties. They</w:t>
      </w:r>
      <w:r w:rsidR="001A6BE1" w:rsidRPr="00D177A4">
        <w:rPr>
          <w:sz w:val="28"/>
          <w:szCs w:val="28"/>
          <w:lang w:val="en-GB"/>
        </w:rPr>
        <w:t xml:space="preserve"> were often politically active on local or national level</w:t>
      </w:r>
      <w:r w:rsidR="00B73D58" w:rsidRPr="00D177A4">
        <w:rPr>
          <w:sz w:val="28"/>
          <w:szCs w:val="28"/>
          <w:lang w:val="en-GB"/>
        </w:rPr>
        <w:t>.</w:t>
      </w:r>
      <w:r w:rsidR="003E4B4F" w:rsidRPr="00D177A4">
        <w:rPr>
          <w:rStyle w:val="Fotnotsreferens"/>
          <w:sz w:val="28"/>
          <w:szCs w:val="28"/>
          <w:lang w:val="sv-SE"/>
        </w:rPr>
        <w:footnoteReference w:id="24"/>
      </w:r>
      <w:r w:rsidR="00B73D58" w:rsidRPr="00D177A4">
        <w:rPr>
          <w:sz w:val="28"/>
          <w:szCs w:val="28"/>
          <w:lang w:val="en-GB"/>
        </w:rPr>
        <w:t xml:space="preserve"> </w:t>
      </w:r>
      <w:r w:rsidR="001A6BE1" w:rsidRPr="00D177A4">
        <w:rPr>
          <w:sz w:val="28"/>
          <w:szCs w:val="28"/>
          <w:lang w:val="en-GB"/>
        </w:rPr>
        <w:t xml:space="preserve">The workers were mostly social democrats locally and nationally building the social democratic influenced welfare state. </w:t>
      </w:r>
      <w:r w:rsidRPr="00D177A4">
        <w:rPr>
          <w:sz w:val="28"/>
          <w:szCs w:val="28"/>
          <w:lang w:val="en-GB"/>
        </w:rPr>
        <w:t xml:space="preserve">Especially in </w:t>
      </w:r>
      <w:r w:rsidR="001A6BE1" w:rsidRPr="00D177A4">
        <w:rPr>
          <w:sz w:val="28"/>
          <w:szCs w:val="28"/>
          <w:lang w:val="en-GB"/>
        </w:rPr>
        <w:t xml:space="preserve">the foundry communities, where the company was the only or the dominating company, </w:t>
      </w:r>
      <w:r w:rsidRPr="00D177A4">
        <w:rPr>
          <w:sz w:val="28"/>
          <w:szCs w:val="28"/>
          <w:lang w:val="en-GB"/>
        </w:rPr>
        <w:t xml:space="preserve">but also in some industrial towns, </w:t>
      </w:r>
      <w:r w:rsidR="001A6BE1" w:rsidRPr="00D177A4">
        <w:rPr>
          <w:sz w:val="28"/>
          <w:szCs w:val="28"/>
          <w:lang w:val="en-GB"/>
        </w:rPr>
        <w:t xml:space="preserve">the governmental </w:t>
      </w:r>
      <w:r w:rsidRPr="00D177A4">
        <w:rPr>
          <w:sz w:val="28"/>
          <w:szCs w:val="28"/>
          <w:lang w:val="en-GB"/>
        </w:rPr>
        <w:t xml:space="preserve">social democratic </w:t>
      </w:r>
      <w:r w:rsidR="001A6BE1" w:rsidRPr="00D177A4">
        <w:rPr>
          <w:sz w:val="28"/>
          <w:szCs w:val="28"/>
          <w:lang w:val="en-GB"/>
        </w:rPr>
        <w:t>leaders me</w:t>
      </w:r>
      <w:r w:rsidRPr="00D177A4">
        <w:rPr>
          <w:sz w:val="28"/>
          <w:szCs w:val="28"/>
          <w:lang w:val="en-GB"/>
        </w:rPr>
        <w:t>t</w:t>
      </w:r>
      <w:r w:rsidR="001A6BE1" w:rsidRPr="00D177A4">
        <w:rPr>
          <w:sz w:val="28"/>
          <w:szCs w:val="28"/>
          <w:lang w:val="en-GB"/>
        </w:rPr>
        <w:t xml:space="preserve"> the company patriarch representing the political minority. From differed interests these parties created a very strong culture of negotiations, where nearly all questions could be solved after negotiations</w:t>
      </w:r>
      <w:r w:rsidRPr="00D177A4">
        <w:rPr>
          <w:sz w:val="28"/>
          <w:szCs w:val="28"/>
          <w:lang w:val="en-GB"/>
        </w:rPr>
        <w:t xml:space="preserve"> and compromising</w:t>
      </w:r>
      <w:r w:rsidR="001A6BE1" w:rsidRPr="00D177A4">
        <w:rPr>
          <w:sz w:val="28"/>
          <w:szCs w:val="28"/>
          <w:lang w:val="en-GB"/>
        </w:rPr>
        <w:t>.</w:t>
      </w:r>
      <w:r w:rsidR="00FE5D12" w:rsidRPr="00D177A4">
        <w:rPr>
          <w:sz w:val="28"/>
          <w:szCs w:val="28"/>
          <w:lang w:val="en-GB"/>
        </w:rPr>
        <w:t xml:space="preserve"> </w:t>
      </w:r>
      <w:r w:rsidR="005E6631" w:rsidRPr="00D177A4">
        <w:rPr>
          <w:sz w:val="28"/>
          <w:szCs w:val="28"/>
          <w:lang w:val="en-GB"/>
        </w:rPr>
        <w:t xml:space="preserve">The consequence of this </w:t>
      </w:r>
      <w:r w:rsidRPr="00D177A4">
        <w:rPr>
          <w:sz w:val="28"/>
          <w:szCs w:val="28"/>
          <w:lang w:val="en-GB"/>
        </w:rPr>
        <w:t>was</w:t>
      </w:r>
      <w:r w:rsidR="005E6631" w:rsidRPr="00D177A4">
        <w:rPr>
          <w:sz w:val="28"/>
          <w:szCs w:val="28"/>
          <w:lang w:val="en-GB"/>
        </w:rPr>
        <w:t xml:space="preserve"> a strong trust in the institutions.</w:t>
      </w:r>
      <w:r w:rsidR="008829EC" w:rsidRPr="00D177A4">
        <w:rPr>
          <w:rStyle w:val="Fotnotsreferens"/>
          <w:spacing w:val="-3"/>
          <w:sz w:val="28"/>
          <w:szCs w:val="28"/>
          <w:lang w:val="sv-SE"/>
        </w:rPr>
        <w:footnoteReference w:id="25"/>
      </w:r>
    </w:p>
    <w:p w:rsidR="001D291B" w:rsidRPr="00D177A4" w:rsidRDefault="005E6631" w:rsidP="00F1250A">
      <w:pPr>
        <w:spacing w:line="360" w:lineRule="auto"/>
        <w:jc w:val="both"/>
        <w:rPr>
          <w:sz w:val="28"/>
          <w:szCs w:val="28"/>
          <w:lang w:val="en-GB"/>
        </w:rPr>
      </w:pPr>
      <w:r w:rsidRPr="00D177A4">
        <w:rPr>
          <w:sz w:val="28"/>
          <w:szCs w:val="28"/>
          <w:lang w:val="en-GB"/>
        </w:rPr>
        <w:t xml:space="preserve">  </w:t>
      </w:r>
      <w:r w:rsidR="00962134" w:rsidRPr="00D177A4">
        <w:rPr>
          <w:sz w:val="28"/>
          <w:szCs w:val="28"/>
          <w:lang w:val="en-GB"/>
        </w:rPr>
        <w:t xml:space="preserve"> In the 60</w:t>
      </w:r>
      <w:r w:rsidR="0031704E" w:rsidRPr="00D177A4">
        <w:rPr>
          <w:sz w:val="28"/>
          <w:szCs w:val="28"/>
          <w:vertAlign w:val="superscript"/>
          <w:lang w:val="en-GB"/>
        </w:rPr>
        <w:t>th</w:t>
      </w:r>
      <w:r w:rsidR="0031704E" w:rsidRPr="00D177A4">
        <w:rPr>
          <w:sz w:val="28"/>
          <w:szCs w:val="28"/>
          <w:lang w:val="en-GB"/>
        </w:rPr>
        <w:t xml:space="preserve"> </w:t>
      </w:r>
      <w:r w:rsidR="00962134" w:rsidRPr="00D177A4">
        <w:rPr>
          <w:sz w:val="28"/>
          <w:szCs w:val="28"/>
          <w:lang w:val="en-GB"/>
        </w:rPr>
        <w:t>and 70</w:t>
      </w:r>
      <w:r w:rsidR="0031704E" w:rsidRPr="00D177A4">
        <w:rPr>
          <w:sz w:val="28"/>
          <w:szCs w:val="28"/>
          <w:vertAlign w:val="superscript"/>
          <w:lang w:val="en-GB"/>
        </w:rPr>
        <w:t>th</w:t>
      </w:r>
      <w:r w:rsidR="0031704E" w:rsidRPr="00D177A4">
        <w:rPr>
          <w:sz w:val="28"/>
          <w:szCs w:val="28"/>
          <w:lang w:val="en-GB"/>
        </w:rPr>
        <w:t xml:space="preserve"> </w:t>
      </w:r>
      <w:r w:rsidR="00EE50B5" w:rsidRPr="00D177A4">
        <w:rPr>
          <w:sz w:val="28"/>
          <w:szCs w:val="28"/>
          <w:lang w:val="en-GB"/>
        </w:rPr>
        <w:t xml:space="preserve">in Sweden </w:t>
      </w:r>
      <w:r w:rsidR="00962134" w:rsidRPr="00D177A4">
        <w:rPr>
          <w:sz w:val="28"/>
          <w:szCs w:val="28"/>
          <w:lang w:val="en-GB"/>
        </w:rPr>
        <w:t xml:space="preserve">the paternalistic relations of trust </w:t>
      </w:r>
      <w:r w:rsidRPr="00D177A4">
        <w:rPr>
          <w:sz w:val="28"/>
          <w:szCs w:val="28"/>
          <w:lang w:val="en-GB"/>
        </w:rPr>
        <w:t>were disturbed. Firstly, the paternalistic superiority was treated as obsolete and unmodern. Secondly, th</w:t>
      </w:r>
      <w:r w:rsidR="00494B67" w:rsidRPr="00D177A4">
        <w:rPr>
          <w:sz w:val="28"/>
          <w:szCs w:val="28"/>
          <w:lang w:val="en-GB"/>
        </w:rPr>
        <w:t xml:space="preserve">e capitalistic market relations </w:t>
      </w:r>
      <w:r w:rsidR="009E5122" w:rsidRPr="00D177A4">
        <w:rPr>
          <w:sz w:val="28"/>
          <w:szCs w:val="28"/>
          <w:lang w:val="en-GB"/>
        </w:rPr>
        <w:t xml:space="preserve">were </w:t>
      </w:r>
      <w:r w:rsidR="00494B67" w:rsidRPr="00D177A4">
        <w:rPr>
          <w:sz w:val="28"/>
          <w:szCs w:val="28"/>
          <w:lang w:val="en-GB"/>
        </w:rPr>
        <w:t>altered</w:t>
      </w:r>
      <w:r w:rsidR="009E5122" w:rsidRPr="00D177A4">
        <w:rPr>
          <w:sz w:val="28"/>
          <w:szCs w:val="28"/>
          <w:lang w:val="en-GB"/>
        </w:rPr>
        <w:t>,</w:t>
      </w:r>
      <w:r w:rsidRPr="00D177A4">
        <w:rPr>
          <w:sz w:val="28"/>
          <w:szCs w:val="28"/>
          <w:lang w:val="en-GB"/>
        </w:rPr>
        <w:t xml:space="preserve"> and it became harder </w:t>
      </w:r>
      <w:r w:rsidR="00EE50B5" w:rsidRPr="00D177A4">
        <w:rPr>
          <w:sz w:val="28"/>
          <w:szCs w:val="28"/>
          <w:lang w:val="en-GB"/>
        </w:rPr>
        <w:t>for</w:t>
      </w:r>
      <w:r w:rsidRPr="00D177A4">
        <w:rPr>
          <w:sz w:val="28"/>
          <w:szCs w:val="28"/>
          <w:lang w:val="en-GB"/>
        </w:rPr>
        <w:t xml:space="preserve"> the paternalistic companies to maintain their obligations</w:t>
      </w:r>
      <w:r w:rsidR="00DC5C87" w:rsidRPr="00D177A4">
        <w:rPr>
          <w:sz w:val="28"/>
          <w:szCs w:val="28"/>
          <w:lang w:val="en-GB"/>
        </w:rPr>
        <w:t xml:space="preserve">. As the companies </w:t>
      </w:r>
      <w:r w:rsidRPr="00D177A4">
        <w:rPr>
          <w:sz w:val="28"/>
          <w:szCs w:val="28"/>
          <w:lang w:val="en-GB"/>
        </w:rPr>
        <w:t xml:space="preserve">began to dismiss faithful old servants and </w:t>
      </w:r>
      <w:r w:rsidR="004C7CFB" w:rsidRPr="00D177A4">
        <w:rPr>
          <w:sz w:val="28"/>
          <w:szCs w:val="28"/>
          <w:lang w:val="en-GB"/>
        </w:rPr>
        <w:t>low productivity workers, they did not deliver according to their promises. Thirdly, the globalization of the steel- and mining industries removed work from the western world. In this new situation the Swedish foundries where hardly troubled</w:t>
      </w:r>
      <w:r w:rsidR="001D291B" w:rsidRPr="00D177A4">
        <w:rPr>
          <w:sz w:val="28"/>
          <w:szCs w:val="28"/>
          <w:lang w:val="en-GB"/>
        </w:rPr>
        <w:t>,</w:t>
      </w:r>
      <w:r w:rsidR="004C7CFB" w:rsidRPr="00D177A4">
        <w:rPr>
          <w:sz w:val="28"/>
          <w:szCs w:val="28"/>
          <w:lang w:val="en-GB"/>
        </w:rPr>
        <w:t xml:space="preserve"> which resulted in strike downs and bankruptcies, which were treated as breaks of the contracts and resulted in angry labour over-reactions. Fourthly, this change affected the overall social relations in the companies and in society at large. A wave of wild strikes in the first half of the 70</w:t>
      </w:r>
      <w:r w:rsidR="004C7CFB" w:rsidRPr="00D177A4">
        <w:rPr>
          <w:sz w:val="28"/>
          <w:szCs w:val="28"/>
          <w:vertAlign w:val="superscript"/>
          <w:lang w:val="en-GB"/>
        </w:rPr>
        <w:t>th</w:t>
      </w:r>
      <w:r w:rsidR="004C7CFB" w:rsidRPr="00D177A4">
        <w:rPr>
          <w:sz w:val="28"/>
          <w:szCs w:val="28"/>
          <w:lang w:val="en-GB"/>
        </w:rPr>
        <w:t xml:space="preserve"> was an expression of the thinning of the former culture of negotiations. </w:t>
      </w:r>
    </w:p>
    <w:p w:rsidR="003E4B4F" w:rsidRPr="00D177A4" w:rsidRDefault="001D291B" w:rsidP="00F1250A">
      <w:pPr>
        <w:spacing w:line="360" w:lineRule="auto"/>
        <w:jc w:val="both"/>
        <w:rPr>
          <w:sz w:val="28"/>
          <w:szCs w:val="28"/>
          <w:lang w:val="en-GB"/>
        </w:rPr>
      </w:pPr>
      <w:r w:rsidRPr="00D177A4">
        <w:rPr>
          <w:sz w:val="28"/>
          <w:szCs w:val="28"/>
          <w:lang w:val="en-GB"/>
        </w:rPr>
        <w:t xml:space="preserve">   </w:t>
      </w:r>
      <w:r w:rsidR="004C7CFB" w:rsidRPr="00D177A4">
        <w:rPr>
          <w:sz w:val="28"/>
          <w:szCs w:val="28"/>
          <w:lang w:val="en-GB"/>
        </w:rPr>
        <w:t xml:space="preserve">Soon many companies re-established the bonds of trust as the trust destroying </w:t>
      </w:r>
      <w:r w:rsidR="00D70757" w:rsidRPr="00D177A4">
        <w:rPr>
          <w:sz w:val="28"/>
          <w:szCs w:val="28"/>
          <w:lang w:val="en-GB"/>
        </w:rPr>
        <w:t>T</w:t>
      </w:r>
      <w:r w:rsidR="0031704E" w:rsidRPr="00D177A4">
        <w:rPr>
          <w:sz w:val="28"/>
          <w:szCs w:val="28"/>
          <w:lang w:val="en-GB"/>
        </w:rPr>
        <w:t>a</w:t>
      </w:r>
      <w:r w:rsidR="004C7CFB" w:rsidRPr="00D177A4">
        <w:rPr>
          <w:sz w:val="28"/>
          <w:szCs w:val="28"/>
          <w:lang w:val="en-GB"/>
        </w:rPr>
        <w:t>ylorism was replaced with the strongly trust reinforcing concept of lean</w:t>
      </w:r>
      <w:r w:rsidR="0031704E" w:rsidRPr="00D177A4">
        <w:rPr>
          <w:sz w:val="28"/>
          <w:szCs w:val="28"/>
          <w:lang w:val="en-GB"/>
        </w:rPr>
        <w:t xml:space="preserve"> production</w:t>
      </w:r>
      <w:r w:rsidR="007816E6" w:rsidRPr="00D177A4">
        <w:rPr>
          <w:sz w:val="28"/>
          <w:szCs w:val="28"/>
          <w:lang w:val="en-GB"/>
        </w:rPr>
        <w:t>.</w:t>
      </w:r>
      <w:r w:rsidRPr="00D177A4">
        <w:rPr>
          <w:sz w:val="28"/>
          <w:szCs w:val="28"/>
          <w:lang w:val="en-GB"/>
        </w:rPr>
        <w:t xml:space="preserve"> This changed the didactic paternalistic contracts.</w:t>
      </w:r>
      <w:r w:rsidR="00406355" w:rsidRPr="00D177A4">
        <w:rPr>
          <w:rStyle w:val="Fotnotsreferens"/>
          <w:sz w:val="28"/>
          <w:szCs w:val="28"/>
          <w:lang w:val="sv-SE"/>
        </w:rPr>
        <w:footnoteReference w:id="26"/>
      </w:r>
    </w:p>
    <w:p w:rsidR="00001A99" w:rsidRPr="00D177A4" w:rsidRDefault="00001A99">
      <w:pPr>
        <w:spacing w:line="360" w:lineRule="auto"/>
        <w:jc w:val="both"/>
        <w:rPr>
          <w:sz w:val="28"/>
          <w:szCs w:val="28"/>
          <w:lang w:val="en-GB"/>
        </w:rPr>
      </w:pPr>
    </w:p>
    <w:p w:rsidR="004E16E8" w:rsidRPr="00632160" w:rsidRDefault="00632160">
      <w:pPr>
        <w:spacing w:line="360" w:lineRule="auto"/>
        <w:jc w:val="both"/>
        <w:rPr>
          <w:b/>
          <w:sz w:val="32"/>
          <w:szCs w:val="32"/>
          <w:lang w:val="en-GB"/>
        </w:rPr>
      </w:pPr>
      <w:r>
        <w:rPr>
          <w:b/>
          <w:sz w:val="32"/>
          <w:szCs w:val="32"/>
          <w:lang w:val="en-GB"/>
        </w:rPr>
        <w:t>Trust and loyalty</w:t>
      </w:r>
    </w:p>
    <w:p w:rsidR="00632160" w:rsidRPr="00D177A4" w:rsidRDefault="00632160">
      <w:pPr>
        <w:spacing w:line="360" w:lineRule="auto"/>
        <w:jc w:val="both"/>
        <w:rPr>
          <w:sz w:val="28"/>
          <w:szCs w:val="28"/>
          <w:lang w:val="en-GB"/>
        </w:rPr>
      </w:pPr>
      <w:r w:rsidRPr="00D177A4">
        <w:rPr>
          <w:sz w:val="28"/>
          <w:szCs w:val="28"/>
          <w:lang w:val="en-GB"/>
        </w:rPr>
        <w:t xml:space="preserve">An alternative of the trust </w:t>
      </w:r>
      <w:r w:rsidR="0031704E" w:rsidRPr="00D177A4">
        <w:rPr>
          <w:sz w:val="28"/>
          <w:szCs w:val="28"/>
          <w:lang w:val="en-GB"/>
        </w:rPr>
        <w:t xml:space="preserve">of </w:t>
      </w:r>
      <w:r w:rsidRPr="00D177A4">
        <w:rPr>
          <w:sz w:val="28"/>
          <w:szCs w:val="28"/>
          <w:lang w:val="en-GB"/>
        </w:rPr>
        <w:t xml:space="preserve">institutions, the culture of negotiations and the </w:t>
      </w:r>
      <w:r w:rsidR="0031704E" w:rsidRPr="00D177A4">
        <w:rPr>
          <w:sz w:val="28"/>
          <w:szCs w:val="28"/>
          <w:lang w:val="en-GB"/>
        </w:rPr>
        <w:t xml:space="preserve">conditioned trust in </w:t>
      </w:r>
      <w:r w:rsidRPr="00D177A4">
        <w:rPr>
          <w:sz w:val="28"/>
          <w:szCs w:val="28"/>
          <w:lang w:val="en-GB"/>
        </w:rPr>
        <w:t>paternalistic employers</w:t>
      </w:r>
      <w:r w:rsidR="001D291B" w:rsidRPr="00D177A4">
        <w:rPr>
          <w:sz w:val="28"/>
          <w:szCs w:val="28"/>
          <w:lang w:val="en-GB"/>
        </w:rPr>
        <w:t>,</w:t>
      </w:r>
      <w:r w:rsidRPr="00D177A4">
        <w:rPr>
          <w:sz w:val="28"/>
          <w:szCs w:val="28"/>
          <w:lang w:val="en-GB"/>
        </w:rPr>
        <w:t xml:space="preserve"> was </w:t>
      </w:r>
      <w:r w:rsidR="001D291B" w:rsidRPr="00D177A4">
        <w:rPr>
          <w:sz w:val="28"/>
          <w:szCs w:val="28"/>
          <w:lang w:val="en-GB"/>
        </w:rPr>
        <w:t xml:space="preserve">another kind of </w:t>
      </w:r>
      <w:r w:rsidRPr="00D177A4">
        <w:rPr>
          <w:sz w:val="28"/>
          <w:szCs w:val="28"/>
          <w:lang w:val="en-GB"/>
        </w:rPr>
        <w:t>the relation of trust based on bonds on loyalty</w:t>
      </w:r>
      <w:r w:rsidR="0031704E" w:rsidRPr="00D177A4">
        <w:rPr>
          <w:sz w:val="28"/>
          <w:szCs w:val="28"/>
          <w:lang w:val="en-GB"/>
        </w:rPr>
        <w:t xml:space="preserve"> and dependent relations</w:t>
      </w:r>
      <w:r w:rsidRPr="00D177A4">
        <w:rPr>
          <w:sz w:val="28"/>
          <w:szCs w:val="28"/>
          <w:lang w:val="en-GB"/>
        </w:rPr>
        <w:t xml:space="preserve">, which was much more unconditioned. </w:t>
      </w:r>
      <w:r w:rsidR="001D291B" w:rsidRPr="00D177A4">
        <w:rPr>
          <w:sz w:val="28"/>
          <w:szCs w:val="28"/>
          <w:lang w:val="en-GB"/>
        </w:rPr>
        <w:t>In Sweden it was prevalent in some of the foundry communities, especially from the 30</w:t>
      </w:r>
      <w:r w:rsidR="001D291B" w:rsidRPr="00D177A4">
        <w:rPr>
          <w:sz w:val="28"/>
          <w:szCs w:val="28"/>
          <w:vertAlign w:val="superscript"/>
          <w:lang w:val="en-GB"/>
        </w:rPr>
        <w:t>th</w:t>
      </w:r>
      <w:r w:rsidR="001D291B" w:rsidRPr="00D177A4">
        <w:rPr>
          <w:sz w:val="28"/>
          <w:szCs w:val="28"/>
          <w:lang w:val="en-GB"/>
        </w:rPr>
        <w:t xml:space="preserve"> to the early 70</w:t>
      </w:r>
      <w:r w:rsidR="001D291B" w:rsidRPr="00D177A4">
        <w:rPr>
          <w:sz w:val="28"/>
          <w:szCs w:val="28"/>
          <w:vertAlign w:val="superscript"/>
          <w:lang w:val="en-GB"/>
        </w:rPr>
        <w:t>th</w:t>
      </w:r>
      <w:r w:rsidR="001D291B" w:rsidRPr="00D177A4">
        <w:rPr>
          <w:sz w:val="28"/>
          <w:szCs w:val="28"/>
          <w:lang w:val="en-GB"/>
        </w:rPr>
        <w:t xml:space="preserve">. Here the unwritten contracts based on didactic paternalism formed very tight bonds which created that kind of belief in a common destiny. In the urban industry and in many of the foundries the relation was much more conditioned, even though the contracts were based on didactic paternalism. These tight bonds thinned in the early post-war years as </w:t>
      </w:r>
      <w:r w:rsidRPr="00D177A4">
        <w:rPr>
          <w:sz w:val="28"/>
          <w:szCs w:val="28"/>
          <w:lang w:val="en-GB"/>
        </w:rPr>
        <w:t xml:space="preserve">the Swedish welfare state weaved the citizens in new relations of trust, </w:t>
      </w:r>
      <w:r w:rsidR="0020234C" w:rsidRPr="00D177A4">
        <w:rPr>
          <w:sz w:val="28"/>
          <w:szCs w:val="28"/>
          <w:lang w:val="en-GB"/>
        </w:rPr>
        <w:t>when</w:t>
      </w:r>
      <w:r w:rsidRPr="00D177A4">
        <w:rPr>
          <w:sz w:val="28"/>
          <w:szCs w:val="28"/>
          <w:lang w:val="en-GB"/>
        </w:rPr>
        <w:t xml:space="preserve"> the welfare state firstly</w:t>
      </w:r>
      <w:r w:rsidR="001C46B4" w:rsidRPr="00D177A4">
        <w:rPr>
          <w:sz w:val="28"/>
          <w:szCs w:val="28"/>
          <w:lang w:val="en-GB"/>
        </w:rPr>
        <w:t xml:space="preserve"> supplemented and then replaced the paternalist companies in creating social and economic safety.</w:t>
      </w:r>
      <w:r w:rsidR="0031704E" w:rsidRPr="00D177A4">
        <w:rPr>
          <w:sz w:val="28"/>
          <w:szCs w:val="28"/>
          <w:lang w:val="en-GB"/>
        </w:rPr>
        <w:t xml:space="preserve"> </w:t>
      </w:r>
      <w:r w:rsidR="00D70757" w:rsidRPr="00D177A4">
        <w:rPr>
          <w:sz w:val="28"/>
          <w:szCs w:val="28"/>
          <w:lang w:val="en-GB"/>
        </w:rPr>
        <w:t>The “death” of most of the foundry companies in the 70</w:t>
      </w:r>
      <w:r w:rsidR="00D70757" w:rsidRPr="00D177A4">
        <w:rPr>
          <w:sz w:val="28"/>
          <w:szCs w:val="28"/>
          <w:vertAlign w:val="superscript"/>
          <w:lang w:val="en-GB"/>
        </w:rPr>
        <w:t>th</w:t>
      </w:r>
      <w:r w:rsidR="00D70757" w:rsidRPr="00D177A4">
        <w:rPr>
          <w:sz w:val="28"/>
          <w:szCs w:val="28"/>
          <w:lang w:val="en-GB"/>
        </w:rPr>
        <w:t xml:space="preserve"> and the early 80</w:t>
      </w:r>
      <w:r w:rsidR="00D70757" w:rsidRPr="00D177A4">
        <w:rPr>
          <w:sz w:val="28"/>
          <w:szCs w:val="28"/>
          <w:vertAlign w:val="superscript"/>
          <w:lang w:val="en-GB"/>
        </w:rPr>
        <w:t>th</w:t>
      </w:r>
      <w:r w:rsidR="00D70757" w:rsidRPr="00D177A4">
        <w:rPr>
          <w:sz w:val="28"/>
          <w:szCs w:val="28"/>
          <w:lang w:val="en-GB"/>
        </w:rPr>
        <w:t xml:space="preserve"> broke the paternalistic contracts and of course also the sense of common destiny. But leftover thoughts remained prevalent even later.</w:t>
      </w:r>
      <w:r w:rsidR="00D70757" w:rsidRPr="00D177A4">
        <w:rPr>
          <w:rStyle w:val="Fotnotsreferens"/>
          <w:sz w:val="28"/>
          <w:szCs w:val="28"/>
          <w:lang w:val="en-GB"/>
        </w:rPr>
        <w:footnoteReference w:id="27"/>
      </w:r>
    </w:p>
    <w:p w:rsidR="001615E4" w:rsidRPr="00D177A4" w:rsidRDefault="001C46B4" w:rsidP="001615E4">
      <w:pPr>
        <w:spacing w:line="360" w:lineRule="auto"/>
        <w:jc w:val="both"/>
        <w:rPr>
          <w:sz w:val="28"/>
          <w:szCs w:val="28"/>
          <w:lang w:val="en-GB"/>
        </w:rPr>
      </w:pPr>
      <w:r w:rsidRPr="00D177A4">
        <w:rPr>
          <w:sz w:val="28"/>
          <w:szCs w:val="28"/>
          <w:lang w:val="en-GB"/>
        </w:rPr>
        <w:t xml:space="preserve">   In Japan the authoritarian paternalism in the early twentieth century was replaced by </w:t>
      </w:r>
      <w:r w:rsidR="001615E4" w:rsidRPr="00D177A4">
        <w:rPr>
          <w:sz w:val="28"/>
          <w:szCs w:val="28"/>
          <w:lang w:val="en-GB"/>
        </w:rPr>
        <w:t>the</w:t>
      </w:r>
      <w:r w:rsidRPr="00D177A4">
        <w:rPr>
          <w:sz w:val="28"/>
          <w:szCs w:val="28"/>
          <w:lang w:val="en-GB"/>
        </w:rPr>
        <w:t xml:space="preserve"> new didactic paternalism</w:t>
      </w:r>
      <w:r w:rsidR="001615E4" w:rsidRPr="00D177A4">
        <w:rPr>
          <w:sz w:val="28"/>
          <w:szCs w:val="28"/>
          <w:lang w:val="en-GB"/>
        </w:rPr>
        <w:t xml:space="preserve">, with </w:t>
      </w:r>
      <w:r w:rsidRPr="00D177A4">
        <w:rPr>
          <w:sz w:val="28"/>
          <w:szCs w:val="28"/>
          <w:lang w:val="en-GB"/>
        </w:rPr>
        <w:t xml:space="preserve">a family based system, where the employees were tied by very tight bonds of trust. </w:t>
      </w:r>
      <w:r w:rsidR="006E6352" w:rsidRPr="00D177A4">
        <w:rPr>
          <w:sz w:val="28"/>
          <w:szCs w:val="28"/>
          <w:lang w:val="en-GB"/>
        </w:rPr>
        <w:t>T</w:t>
      </w:r>
      <w:r w:rsidRPr="00D177A4">
        <w:rPr>
          <w:sz w:val="28"/>
          <w:szCs w:val="28"/>
          <w:lang w:val="en-GB"/>
        </w:rPr>
        <w:t>his kind of paternalism lost its validity</w:t>
      </w:r>
      <w:r w:rsidR="001615E4" w:rsidRPr="00D177A4">
        <w:rPr>
          <w:sz w:val="28"/>
          <w:szCs w:val="28"/>
          <w:lang w:val="en-GB"/>
        </w:rPr>
        <w:t>,</w:t>
      </w:r>
      <w:r w:rsidRPr="00D177A4">
        <w:rPr>
          <w:sz w:val="28"/>
          <w:szCs w:val="28"/>
          <w:lang w:val="en-GB"/>
        </w:rPr>
        <w:t xml:space="preserve"> as the </w:t>
      </w:r>
      <w:r w:rsidR="00D70757" w:rsidRPr="00D177A4">
        <w:rPr>
          <w:sz w:val="28"/>
          <w:szCs w:val="28"/>
          <w:lang w:val="en-GB"/>
        </w:rPr>
        <w:t>T</w:t>
      </w:r>
      <w:r w:rsidRPr="00D177A4">
        <w:rPr>
          <w:sz w:val="28"/>
          <w:szCs w:val="28"/>
          <w:lang w:val="en-GB"/>
        </w:rPr>
        <w:t xml:space="preserve">aylorism was exchanged by the lean </w:t>
      </w:r>
      <w:r w:rsidR="00D70757" w:rsidRPr="00D177A4">
        <w:rPr>
          <w:sz w:val="28"/>
          <w:szCs w:val="28"/>
          <w:lang w:val="en-GB"/>
        </w:rPr>
        <w:t xml:space="preserve">production mode </w:t>
      </w:r>
      <w:r w:rsidRPr="00D177A4">
        <w:rPr>
          <w:sz w:val="28"/>
          <w:szCs w:val="28"/>
          <w:lang w:val="en-GB"/>
        </w:rPr>
        <w:t xml:space="preserve">of rationalization. </w:t>
      </w:r>
      <w:r w:rsidR="001615E4" w:rsidRPr="00D177A4">
        <w:rPr>
          <w:sz w:val="28"/>
          <w:szCs w:val="28"/>
          <w:lang w:val="en-GB"/>
        </w:rPr>
        <w:t xml:space="preserve">A new mode of paternalistic contracts tied the labour forces even harder to the company. </w:t>
      </w:r>
      <w:r w:rsidRPr="00D177A4">
        <w:rPr>
          <w:sz w:val="28"/>
          <w:szCs w:val="28"/>
          <w:lang w:val="en-GB"/>
        </w:rPr>
        <w:t>For example, the trade union in Toyota in the early 60</w:t>
      </w:r>
      <w:r w:rsidRPr="00D177A4">
        <w:rPr>
          <w:sz w:val="28"/>
          <w:szCs w:val="28"/>
          <w:vertAlign w:val="superscript"/>
          <w:lang w:val="en-GB"/>
        </w:rPr>
        <w:t>th</w:t>
      </w:r>
      <w:r w:rsidRPr="00D177A4">
        <w:rPr>
          <w:sz w:val="28"/>
          <w:szCs w:val="28"/>
          <w:lang w:val="en-GB"/>
        </w:rPr>
        <w:t xml:space="preserve"> and the company declared having common interests. </w:t>
      </w:r>
      <w:r w:rsidR="00494B67" w:rsidRPr="00D177A4">
        <w:rPr>
          <w:sz w:val="28"/>
          <w:szCs w:val="28"/>
          <w:lang w:val="en-GB"/>
        </w:rPr>
        <w:t>Consequently,</w:t>
      </w:r>
      <w:r w:rsidR="001615E4" w:rsidRPr="00D177A4">
        <w:rPr>
          <w:sz w:val="28"/>
          <w:szCs w:val="28"/>
          <w:lang w:val="en-GB"/>
        </w:rPr>
        <w:t xml:space="preserve"> the </w:t>
      </w:r>
      <w:r w:rsidR="00D70757" w:rsidRPr="00D177A4">
        <w:rPr>
          <w:sz w:val="28"/>
          <w:szCs w:val="28"/>
          <w:lang w:val="en-GB"/>
        </w:rPr>
        <w:t xml:space="preserve">dependent relation </w:t>
      </w:r>
      <w:r w:rsidR="001615E4" w:rsidRPr="00D177A4">
        <w:rPr>
          <w:sz w:val="28"/>
          <w:szCs w:val="28"/>
          <w:lang w:val="en-GB"/>
        </w:rPr>
        <w:t xml:space="preserve">became </w:t>
      </w:r>
      <w:r w:rsidR="00E867BE" w:rsidRPr="00D177A4">
        <w:rPr>
          <w:sz w:val="28"/>
          <w:szCs w:val="28"/>
          <w:lang w:val="en-GB"/>
        </w:rPr>
        <w:t>more important</w:t>
      </w:r>
      <w:r w:rsidR="001615E4" w:rsidRPr="00D177A4">
        <w:rPr>
          <w:sz w:val="28"/>
          <w:szCs w:val="28"/>
          <w:lang w:val="en-GB"/>
        </w:rPr>
        <w:t xml:space="preserve"> in Japan</w:t>
      </w:r>
      <w:r w:rsidR="00E867BE" w:rsidRPr="00D177A4">
        <w:rPr>
          <w:sz w:val="28"/>
          <w:szCs w:val="28"/>
          <w:lang w:val="en-GB"/>
        </w:rPr>
        <w:t>.</w:t>
      </w:r>
      <w:r w:rsidR="001615E4" w:rsidRPr="00D177A4">
        <w:rPr>
          <w:sz w:val="28"/>
          <w:szCs w:val="28"/>
          <w:lang w:val="en-GB"/>
        </w:rPr>
        <w:t xml:space="preserve"> The Japanese companies also delivered welfare gifts much longer. This created loyalty.</w:t>
      </w:r>
      <w:r w:rsidR="006E6352" w:rsidRPr="00D177A4">
        <w:rPr>
          <w:rStyle w:val="Fotnotsreferens"/>
          <w:sz w:val="28"/>
          <w:szCs w:val="28"/>
          <w:lang w:val="en-GB"/>
        </w:rPr>
        <w:footnoteReference w:id="28"/>
      </w:r>
      <w:r w:rsidR="006E6352" w:rsidRPr="00D177A4">
        <w:rPr>
          <w:sz w:val="28"/>
          <w:szCs w:val="28"/>
          <w:lang w:val="en-GB"/>
        </w:rPr>
        <w:t xml:space="preserve"> </w:t>
      </w:r>
    </w:p>
    <w:p w:rsidR="007A429D" w:rsidRPr="00D177A4" w:rsidRDefault="001615E4" w:rsidP="001615E4">
      <w:pPr>
        <w:spacing w:line="360" w:lineRule="auto"/>
        <w:jc w:val="both"/>
        <w:rPr>
          <w:sz w:val="28"/>
          <w:szCs w:val="28"/>
          <w:lang w:val="en-GB"/>
        </w:rPr>
      </w:pPr>
      <w:r w:rsidRPr="00D177A4">
        <w:rPr>
          <w:sz w:val="28"/>
          <w:szCs w:val="28"/>
          <w:lang w:val="en-GB"/>
        </w:rPr>
        <w:t xml:space="preserve">   </w:t>
      </w:r>
      <w:r w:rsidR="006E6352" w:rsidRPr="00D177A4">
        <w:rPr>
          <w:sz w:val="28"/>
          <w:szCs w:val="28"/>
          <w:lang w:val="en-GB"/>
        </w:rPr>
        <w:t xml:space="preserve">As </w:t>
      </w:r>
      <w:r w:rsidR="004C1C7C" w:rsidRPr="00D177A4">
        <w:rPr>
          <w:sz w:val="28"/>
          <w:szCs w:val="28"/>
          <w:lang w:val="en-GB"/>
        </w:rPr>
        <w:t>P</w:t>
      </w:r>
      <w:r w:rsidR="006E6352" w:rsidRPr="00D177A4">
        <w:rPr>
          <w:sz w:val="28"/>
          <w:szCs w:val="28"/>
          <w:lang w:val="en-GB"/>
        </w:rPr>
        <w:t>rofessor Kiyoshi Kurokawa at</w:t>
      </w:r>
      <w:r w:rsidR="00E867BE" w:rsidRPr="00D177A4">
        <w:rPr>
          <w:sz w:val="28"/>
          <w:szCs w:val="28"/>
          <w:lang w:val="en-GB"/>
        </w:rPr>
        <w:t xml:space="preserve"> the</w:t>
      </w:r>
      <w:r w:rsidR="006E6352" w:rsidRPr="00D177A4">
        <w:rPr>
          <w:sz w:val="28"/>
          <w:szCs w:val="28"/>
          <w:lang w:val="en-GB"/>
        </w:rPr>
        <w:t xml:space="preserve"> Tokyo University in his report of management the Fukoshima accident has called attention to</w:t>
      </w:r>
      <w:r w:rsidRPr="00D177A4">
        <w:rPr>
          <w:sz w:val="28"/>
          <w:szCs w:val="28"/>
          <w:lang w:val="en-GB"/>
        </w:rPr>
        <w:t>,</w:t>
      </w:r>
      <w:r w:rsidR="006E6352" w:rsidRPr="00D177A4">
        <w:rPr>
          <w:sz w:val="28"/>
          <w:szCs w:val="28"/>
          <w:lang w:val="en-GB"/>
        </w:rPr>
        <w:t xml:space="preserve"> there are strong bonds of loyalty in Japanese culture.</w:t>
      </w:r>
      <w:r w:rsidR="0042057B" w:rsidRPr="00D177A4">
        <w:rPr>
          <w:rStyle w:val="Fotnotsreferens"/>
          <w:spacing w:val="-3"/>
          <w:sz w:val="28"/>
          <w:szCs w:val="28"/>
          <w:lang w:val="sv-SE"/>
        </w:rPr>
        <w:footnoteReference w:id="29"/>
      </w:r>
      <w:r w:rsidR="00E867BE" w:rsidRPr="00D177A4">
        <w:rPr>
          <w:sz w:val="28"/>
          <w:szCs w:val="28"/>
          <w:lang w:val="en-GB"/>
        </w:rPr>
        <w:t xml:space="preserve"> Probably the concept of dependent relations plays an important role in this, but as we have already pointed out </w:t>
      </w:r>
      <w:r w:rsidRPr="00D177A4">
        <w:rPr>
          <w:sz w:val="28"/>
          <w:szCs w:val="28"/>
          <w:lang w:val="en-GB"/>
        </w:rPr>
        <w:t>the conclusion needs further studies</w:t>
      </w:r>
      <w:r w:rsidR="00E867BE" w:rsidRPr="00D177A4">
        <w:rPr>
          <w:sz w:val="28"/>
          <w:szCs w:val="28"/>
          <w:lang w:val="en-GB"/>
        </w:rPr>
        <w:t>.</w:t>
      </w:r>
    </w:p>
    <w:p w:rsidR="00407860" w:rsidRDefault="00407860">
      <w:pPr>
        <w:spacing w:line="360" w:lineRule="auto"/>
        <w:jc w:val="both"/>
        <w:rPr>
          <w:spacing w:val="-3"/>
          <w:lang w:val="en-GB"/>
        </w:rPr>
      </w:pPr>
    </w:p>
    <w:p w:rsidR="006E6352" w:rsidRPr="006E6352" w:rsidRDefault="006E6352">
      <w:pPr>
        <w:spacing w:line="360" w:lineRule="auto"/>
        <w:jc w:val="both"/>
        <w:rPr>
          <w:b/>
          <w:spacing w:val="-3"/>
          <w:sz w:val="32"/>
          <w:szCs w:val="32"/>
          <w:lang w:val="en-GB"/>
        </w:rPr>
      </w:pPr>
      <w:r w:rsidRPr="006E6352">
        <w:rPr>
          <w:b/>
          <w:spacing w:val="-3"/>
          <w:sz w:val="32"/>
          <w:szCs w:val="32"/>
          <w:lang w:val="en-GB"/>
        </w:rPr>
        <w:t>Conclusions</w:t>
      </w:r>
    </w:p>
    <w:p w:rsidR="00251C94" w:rsidRPr="00D177A4" w:rsidRDefault="006E6352">
      <w:pPr>
        <w:spacing w:line="360" w:lineRule="auto"/>
        <w:jc w:val="both"/>
        <w:rPr>
          <w:spacing w:val="-3"/>
          <w:sz w:val="28"/>
          <w:szCs w:val="28"/>
          <w:lang w:val="en-GB"/>
        </w:rPr>
      </w:pPr>
      <w:bookmarkStart w:id="0" w:name="_GoBack"/>
      <w:r w:rsidRPr="00D177A4">
        <w:rPr>
          <w:spacing w:val="-3"/>
          <w:sz w:val="28"/>
          <w:szCs w:val="28"/>
          <w:lang w:val="en-GB"/>
        </w:rPr>
        <w:t>In Sweden the culture of negotiations is rooted in the pre-industrial period</w:t>
      </w:r>
      <w:r w:rsidR="00272A95" w:rsidRPr="00D177A4">
        <w:rPr>
          <w:spacing w:val="-3"/>
          <w:sz w:val="28"/>
          <w:szCs w:val="28"/>
          <w:lang w:val="en-GB"/>
        </w:rPr>
        <w:t>. It was revitalized by t</w:t>
      </w:r>
      <w:r w:rsidRPr="00D177A4">
        <w:rPr>
          <w:spacing w:val="-3"/>
          <w:sz w:val="28"/>
          <w:szCs w:val="28"/>
          <w:lang w:val="en-GB"/>
        </w:rPr>
        <w:t xml:space="preserve">he </w:t>
      </w:r>
      <w:r w:rsidR="00251C94" w:rsidRPr="00D177A4">
        <w:rPr>
          <w:spacing w:val="-3"/>
          <w:sz w:val="28"/>
          <w:szCs w:val="28"/>
          <w:lang w:val="en-GB"/>
        </w:rPr>
        <w:t xml:space="preserve">collective bargaining system emerging in the early twentieth Century. This created a strong trust especially directed to the institutionalized system. </w:t>
      </w:r>
    </w:p>
    <w:p w:rsidR="00251C94" w:rsidRPr="00D177A4" w:rsidRDefault="00251C94">
      <w:pPr>
        <w:spacing w:line="360" w:lineRule="auto"/>
        <w:jc w:val="both"/>
        <w:rPr>
          <w:spacing w:val="-3"/>
          <w:sz w:val="28"/>
          <w:szCs w:val="28"/>
          <w:lang w:val="en-GB"/>
        </w:rPr>
      </w:pPr>
      <w:r w:rsidRPr="00D177A4">
        <w:rPr>
          <w:spacing w:val="-3"/>
          <w:sz w:val="28"/>
          <w:szCs w:val="28"/>
          <w:lang w:val="en-GB"/>
        </w:rPr>
        <w:t xml:space="preserve">   The Japanese paternalism played a more important role </w:t>
      </w:r>
      <w:r w:rsidR="00C1454A" w:rsidRPr="00D177A4">
        <w:rPr>
          <w:spacing w:val="-3"/>
          <w:sz w:val="28"/>
          <w:szCs w:val="28"/>
          <w:lang w:val="en-GB"/>
        </w:rPr>
        <w:t xml:space="preserve">– for the companies and for the welfare society – </w:t>
      </w:r>
      <w:r w:rsidRPr="00D177A4">
        <w:rPr>
          <w:spacing w:val="-3"/>
          <w:sz w:val="28"/>
          <w:szCs w:val="28"/>
          <w:lang w:val="en-GB"/>
        </w:rPr>
        <w:t xml:space="preserve">and lasted much longer. The trade unions were weaker and the welfare state not </w:t>
      </w:r>
      <w:r w:rsidR="00BE3B81" w:rsidRPr="00D177A4">
        <w:rPr>
          <w:spacing w:val="-3"/>
          <w:sz w:val="28"/>
          <w:szCs w:val="28"/>
          <w:lang w:val="en-GB"/>
        </w:rPr>
        <w:t>that</w:t>
      </w:r>
      <w:r w:rsidRPr="00D177A4">
        <w:rPr>
          <w:spacing w:val="-3"/>
          <w:sz w:val="28"/>
          <w:szCs w:val="28"/>
          <w:lang w:val="en-GB"/>
        </w:rPr>
        <w:t xml:space="preserve"> important as in Sweden. Then the bonds of trust to the companies were tighter and more important. Changes in paternalism </w:t>
      </w:r>
      <w:r w:rsidR="00C1454A" w:rsidRPr="00D177A4">
        <w:rPr>
          <w:spacing w:val="-3"/>
          <w:sz w:val="28"/>
          <w:szCs w:val="28"/>
          <w:lang w:val="en-GB"/>
        </w:rPr>
        <w:t xml:space="preserve">firstly to didactic paternalism and later to new paternalism </w:t>
      </w:r>
      <w:r w:rsidRPr="00D177A4">
        <w:rPr>
          <w:spacing w:val="-3"/>
          <w:sz w:val="28"/>
          <w:szCs w:val="28"/>
          <w:lang w:val="en-GB"/>
        </w:rPr>
        <w:t xml:space="preserve">resulted in new tight bonds of trust. According to our conclusion these bonds could be </w:t>
      </w:r>
      <w:r w:rsidR="00BE3B81" w:rsidRPr="00D177A4">
        <w:rPr>
          <w:spacing w:val="-3"/>
          <w:sz w:val="28"/>
          <w:szCs w:val="28"/>
          <w:lang w:val="en-GB"/>
        </w:rPr>
        <w:t xml:space="preserve">woven together with </w:t>
      </w:r>
      <w:r w:rsidRPr="00D177A4">
        <w:rPr>
          <w:spacing w:val="-3"/>
          <w:sz w:val="28"/>
          <w:szCs w:val="28"/>
          <w:lang w:val="en-GB"/>
        </w:rPr>
        <w:t>an older culture of loyalty</w:t>
      </w:r>
      <w:r w:rsidR="008605A7" w:rsidRPr="00D177A4">
        <w:rPr>
          <w:spacing w:val="-3"/>
          <w:sz w:val="28"/>
          <w:szCs w:val="28"/>
          <w:lang w:val="en-GB"/>
        </w:rPr>
        <w:t xml:space="preserve"> and dependent relations</w:t>
      </w:r>
      <w:r w:rsidRPr="00D177A4">
        <w:rPr>
          <w:spacing w:val="-3"/>
          <w:sz w:val="28"/>
          <w:szCs w:val="28"/>
          <w:lang w:val="en-GB"/>
        </w:rPr>
        <w:t xml:space="preserve">, which also existed in Sweden, but </w:t>
      </w:r>
      <w:r w:rsidR="00BE3B81" w:rsidRPr="00D177A4">
        <w:rPr>
          <w:spacing w:val="-3"/>
          <w:sz w:val="28"/>
          <w:szCs w:val="28"/>
          <w:lang w:val="en-GB"/>
        </w:rPr>
        <w:t xml:space="preserve">was </w:t>
      </w:r>
      <w:r w:rsidRPr="00D177A4">
        <w:rPr>
          <w:spacing w:val="-3"/>
          <w:sz w:val="28"/>
          <w:szCs w:val="28"/>
          <w:lang w:val="en-GB"/>
        </w:rPr>
        <w:t>not that strong and far reaching as in Japan.</w:t>
      </w:r>
    </w:p>
    <w:bookmarkEnd w:id="0"/>
    <w:p w:rsidR="00251C94" w:rsidRPr="0039514C" w:rsidRDefault="00251C94">
      <w:pPr>
        <w:spacing w:line="360" w:lineRule="auto"/>
        <w:jc w:val="both"/>
        <w:rPr>
          <w:spacing w:val="-3"/>
          <w:sz w:val="28"/>
          <w:szCs w:val="28"/>
          <w:lang w:val="en-GB"/>
        </w:rPr>
      </w:pPr>
    </w:p>
    <w:p w:rsidR="00251C94" w:rsidRPr="0039514C" w:rsidRDefault="00251C94">
      <w:pPr>
        <w:spacing w:line="360" w:lineRule="auto"/>
        <w:jc w:val="both"/>
        <w:rPr>
          <w:spacing w:val="-3"/>
          <w:sz w:val="28"/>
          <w:szCs w:val="28"/>
          <w:lang w:val="en-GB"/>
        </w:rPr>
      </w:pPr>
    </w:p>
    <w:p w:rsidR="00407860" w:rsidRPr="008A5E1C" w:rsidRDefault="00251C94">
      <w:pPr>
        <w:spacing w:line="360" w:lineRule="auto"/>
        <w:jc w:val="both"/>
        <w:rPr>
          <w:spacing w:val="-3"/>
          <w:lang w:val="en-GB"/>
        </w:rPr>
      </w:pPr>
      <w:r w:rsidRPr="008A5E1C">
        <w:rPr>
          <w:spacing w:val="-3"/>
          <w:lang w:val="en-GB"/>
        </w:rPr>
        <w:t>Björn Horgby and Christer Ericsson</w:t>
      </w:r>
    </w:p>
    <w:sectPr w:rsidR="00407860" w:rsidRPr="008A5E1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584"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802" w:rsidRDefault="009A0802">
      <w:r>
        <w:separator/>
      </w:r>
    </w:p>
  </w:endnote>
  <w:endnote w:type="continuationSeparator" w:id="0">
    <w:p w:rsidR="009A0802" w:rsidRDefault="009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0C71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0C71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0C7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802" w:rsidRDefault="009A0802">
      <w:r>
        <w:separator/>
      </w:r>
    </w:p>
  </w:footnote>
  <w:footnote w:type="continuationSeparator" w:id="0">
    <w:p w:rsidR="009A0802" w:rsidRDefault="009A0802">
      <w:r>
        <w:continuationSeparator/>
      </w:r>
    </w:p>
  </w:footnote>
  <w:footnote w:id="1">
    <w:p w:rsidR="003607F2" w:rsidRPr="003607F2" w:rsidRDefault="003607F2" w:rsidP="00D83190">
      <w:pPr>
        <w:pStyle w:val="Fotnotstext"/>
        <w:jc w:val="both"/>
      </w:pPr>
      <w:r>
        <w:rPr>
          <w:rStyle w:val="Fotnotsreferens"/>
        </w:rPr>
        <w:footnoteRef/>
      </w:r>
      <w:r w:rsidRPr="003607F2">
        <w:rPr>
          <w:lang w:val="sv-SE"/>
        </w:rPr>
        <w:t xml:space="preserve"> </w:t>
      </w:r>
      <w:r w:rsidRPr="00FC5F40">
        <w:rPr>
          <w:lang w:val="sv-SE"/>
        </w:rPr>
        <w:t xml:space="preserve">Robert Putnam, R Leonardi &amp; R Nanetti, </w:t>
      </w:r>
      <w:r w:rsidRPr="00FC5F40">
        <w:rPr>
          <w:i/>
          <w:lang w:val="sv-SE"/>
        </w:rPr>
        <w:t xml:space="preserve">Den fungerande demokratin. </w:t>
      </w:r>
      <w:r w:rsidRPr="00FC5F40">
        <w:rPr>
          <w:i/>
          <w:lang w:val="en-GB"/>
        </w:rPr>
        <w:t>Medborgarandans rötter i Italien.</w:t>
      </w:r>
      <w:r>
        <w:rPr>
          <w:lang w:val="en-GB"/>
        </w:rPr>
        <w:t xml:space="preserve"> Stockholm</w:t>
      </w:r>
      <w:r w:rsidRPr="00FC5F40">
        <w:rPr>
          <w:lang w:val="en-GB"/>
        </w:rPr>
        <w:t xml:space="preserve"> </w:t>
      </w:r>
      <w:r w:rsidRPr="00F010D2">
        <w:rPr>
          <w:lang w:val="en-GB"/>
        </w:rPr>
        <w:t xml:space="preserve">1996; Robert Putnam, </w:t>
      </w:r>
      <w:r w:rsidRPr="008A3E05">
        <w:rPr>
          <w:i/>
          <w:lang w:val="en-GB"/>
        </w:rPr>
        <w:t xml:space="preserve">Bowling Alone. </w:t>
      </w:r>
      <w:r w:rsidRPr="00BF56FF">
        <w:rPr>
          <w:i/>
          <w:lang w:val="en-GB"/>
        </w:rPr>
        <w:t>The Collapse and Revival of American Community</w:t>
      </w:r>
      <w:r w:rsidRPr="00BF56FF">
        <w:rPr>
          <w:lang w:val="en-GB"/>
        </w:rPr>
        <w:t xml:space="preserve">. </w:t>
      </w:r>
      <w:r w:rsidRPr="009F4356">
        <w:rPr>
          <w:lang w:val="sv-SE"/>
        </w:rPr>
        <w:t xml:space="preserve">2000 (Swedish translation </w:t>
      </w:r>
      <w:r w:rsidRPr="009F4356">
        <w:rPr>
          <w:i/>
          <w:lang w:val="sv-SE"/>
        </w:rPr>
        <w:t xml:space="preserve">Den ensamme bowlaren. </w:t>
      </w:r>
      <w:r w:rsidRPr="00FC5F40">
        <w:rPr>
          <w:i/>
          <w:lang w:val="sv-SE"/>
        </w:rPr>
        <w:t>Den amerikanska medborgarandrans upplösning och förnyelse</w:t>
      </w:r>
      <w:r w:rsidRPr="00EB575F">
        <w:rPr>
          <w:lang w:val="sv-SE"/>
        </w:rPr>
        <w:t xml:space="preserve">. </w:t>
      </w:r>
      <w:r w:rsidRPr="005D1AC8">
        <w:t xml:space="preserve">Stockholm 2006); see also a critical perspective in Olof Petersson &amp; Bo Rothstein, “Förord”, in R Putnam 2006; Bo Rothstein, </w:t>
      </w:r>
      <w:r w:rsidRPr="005D1AC8">
        <w:rPr>
          <w:i/>
        </w:rPr>
        <w:t xml:space="preserve">Vad bör staten göra? </w:t>
      </w:r>
      <w:r w:rsidRPr="00FC5F40">
        <w:rPr>
          <w:i/>
          <w:lang w:val="sv-SE"/>
        </w:rPr>
        <w:t>Om välfärdsstatens moraliska och politiska logik.</w:t>
      </w:r>
      <w:r w:rsidRPr="00FC5F40">
        <w:rPr>
          <w:lang w:val="sv-SE"/>
        </w:rPr>
        <w:t xml:space="preserve"> Stockholm 2006, pp 272-79; also Apostolis Papakostas, </w:t>
      </w:r>
      <w:r w:rsidRPr="00FC5F40">
        <w:rPr>
          <w:i/>
          <w:lang w:val="sv-SE"/>
        </w:rPr>
        <w:t>Misstro, tillit, korruption – och det offentligas civilisering</w:t>
      </w:r>
      <w:r w:rsidRPr="00FC5F40">
        <w:rPr>
          <w:lang w:val="sv-SE"/>
        </w:rPr>
        <w:t>.</w:t>
      </w:r>
      <w:r>
        <w:rPr>
          <w:lang w:val="sv-SE"/>
        </w:rPr>
        <w:t xml:space="preserve"> </w:t>
      </w:r>
      <w:r w:rsidRPr="009F4356">
        <w:t xml:space="preserve">Lund 2009, pp 11-31. </w:t>
      </w:r>
      <w:r w:rsidRPr="008A3E05">
        <w:rPr>
          <w:lang w:val="en-GB"/>
        </w:rPr>
        <w:t xml:space="preserve">Piotr Sztompka, </w:t>
      </w:r>
      <w:r w:rsidRPr="008A3E05">
        <w:rPr>
          <w:i/>
          <w:lang w:val="en-GB"/>
        </w:rPr>
        <w:t>Trust</w:t>
      </w:r>
      <w:r w:rsidRPr="008A3E05">
        <w:rPr>
          <w:lang w:val="en-GB"/>
        </w:rPr>
        <w:t xml:space="preserve"> 1999, s 6-17 draw</w:t>
      </w:r>
      <w:r>
        <w:rPr>
          <w:lang w:val="en-GB"/>
        </w:rPr>
        <w:t>s</w:t>
      </w:r>
      <w:r w:rsidRPr="008A3E05">
        <w:rPr>
          <w:lang w:val="en-GB"/>
        </w:rPr>
        <w:t xml:space="preserve"> the theoretical roots of the concept to among others </w:t>
      </w:r>
      <w:r>
        <w:rPr>
          <w:lang w:val="en-GB"/>
        </w:rPr>
        <w:t>Tönnies and</w:t>
      </w:r>
      <w:r w:rsidRPr="008A3E05">
        <w:rPr>
          <w:lang w:val="en-GB"/>
        </w:rPr>
        <w:t xml:space="preserve"> Durkheim.</w:t>
      </w:r>
    </w:p>
  </w:footnote>
  <w:footnote w:id="2">
    <w:p w:rsidR="00D83190" w:rsidRPr="00211E5A" w:rsidRDefault="00D83190" w:rsidP="00D83190">
      <w:pPr>
        <w:pStyle w:val="Fotnotstext"/>
        <w:jc w:val="both"/>
        <w:rPr>
          <w:lang w:val="sv-SE"/>
        </w:rPr>
      </w:pPr>
      <w:r>
        <w:rPr>
          <w:rStyle w:val="Fotnotsreferens"/>
        </w:rPr>
        <w:footnoteRef/>
      </w:r>
      <w:r>
        <w:t xml:space="preserve"> </w:t>
      </w:r>
      <w:r w:rsidRPr="00D83190">
        <w:t xml:space="preserve">Our discussion is based on Christer Ericsson, Björn Horgby and Shunji Ishihara, </w:t>
      </w:r>
      <w:r w:rsidRPr="00D83190">
        <w:rPr>
          <w:i/>
        </w:rPr>
        <w:t xml:space="preserve">Faderliga företagare i Sverige och Japan </w:t>
      </w:r>
      <w:r w:rsidRPr="00D83190">
        <w:t xml:space="preserve">(Paternalist industrialists in Sweden and Japan). </w:t>
      </w:r>
      <w:r w:rsidRPr="00211E5A">
        <w:rPr>
          <w:lang w:val="sv-SE"/>
        </w:rPr>
        <w:t>Stockholm 2016</w:t>
      </w:r>
    </w:p>
  </w:footnote>
  <w:footnote w:id="3">
    <w:p w:rsidR="00180B0E" w:rsidRPr="00FC5F40" w:rsidRDefault="00180B0E" w:rsidP="00180B0E">
      <w:pPr>
        <w:pStyle w:val="Fotnotstext"/>
        <w:jc w:val="both"/>
        <w:rPr>
          <w:lang w:val="sv-SE"/>
        </w:rPr>
      </w:pPr>
      <w:r>
        <w:rPr>
          <w:rStyle w:val="Fotnotsreferens"/>
        </w:rPr>
        <w:footnoteRef/>
      </w:r>
      <w:r w:rsidR="00763FC1">
        <w:rPr>
          <w:lang w:val="sv-SE"/>
        </w:rPr>
        <w:t xml:space="preserve"> For</w:t>
      </w:r>
      <w:r w:rsidR="008A3E05" w:rsidRPr="00FC5F40">
        <w:rPr>
          <w:lang w:val="sv-SE"/>
        </w:rPr>
        <w:t xml:space="preserve"> the Scandinavian research of trust, </w:t>
      </w:r>
      <w:r w:rsidR="00763FC1">
        <w:rPr>
          <w:lang w:val="sv-SE"/>
        </w:rPr>
        <w:t xml:space="preserve">see </w:t>
      </w:r>
      <w:r w:rsidRPr="00FC5F40">
        <w:rPr>
          <w:lang w:val="sv-SE"/>
        </w:rPr>
        <w:t>J</w:t>
      </w:r>
      <w:r w:rsidR="00FC5F40" w:rsidRPr="00FC5F40">
        <w:rPr>
          <w:lang w:val="sv-SE"/>
        </w:rPr>
        <w:t>ulia</w:t>
      </w:r>
      <w:r w:rsidRPr="00FC5F40">
        <w:rPr>
          <w:lang w:val="sv-SE"/>
        </w:rPr>
        <w:t xml:space="preserve"> Grosse</w:t>
      </w:r>
      <w:r w:rsidR="00FC5F40" w:rsidRPr="00FC5F40">
        <w:rPr>
          <w:lang w:val="sv-SE"/>
        </w:rPr>
        <w:t xml:space="preserve">, “Nordisk tillitsforskning”, in </w:t>
      </w:r>
      <w:r w:rsidR="00FC5F40" w:rsidRPr="00FC5F40">
        <w:rPr>
          <w:i/>
          <w:lang w:val="sv-SE"/>
        </w:rPr>
        <w:t>Forskningsavdelningens arbetsrapporter</w:t>
      </w:r>
      <w:r w:rsidR="00FC5F40" w:rsidRPr="00FC5F40">
        <w:rPr>
          <w:lang w:val="sv-SE"/>
        </w:rPr>
        <w:t xml:space="preserve"> nr 49. Stockholm: Ersta Sköndal Högskola</w:t>
      </w:r>
      <w:r w:rsidRPr="00FC5F40">
        <w:rPr>
          <w:lang w:val="sv-SE"/>
        </w:rPr>
        <w:t xml:space="preserve"> 2007.</w:t>
      </w:r>
    </w:p>
  </w:footnote>
  <w:footnote w:id="4">
    <w:p w:rsidR="006212FD" w:rsidRPr="009F4356" w:rsidRDefault="006212FD" w:rsidP="006212FD">
      <w:pPr>
        <w:pStyle w:val="Fotnotstext"/>
        <w:rPr>
          <w:lang w:val="sv-SE"/>
        </w:rPr>
      </w:pPr>
      <w:r>
        <w:rPr>
          <w:rStyle w:val="Fotnotsreferens"/>
        </w:rPr>
        <w:footnoteRef/>
      </w:r>
      <w:r w:rsidRPr="009F4356">
        <w:rPr>
          <w:lang w:val="sv-SE"/>
        </w:rPr>
        <w:t xml:space="preserve"> P Sztompka 1999</w:t>
      </w:r>
    </w:p>
  </w:footnote>
  <w:footnote w:id="5">
    <w:p w:rsidR="000C71B2" w:rsidRPr="00DC6480" w:rsidRDefault="0042057B">
      <w:pPr>
        <w:pStyle w:val="Fotnotstext"/>
        <w:jc w:val="both"/>
        <w:rPr>
          <w:lang w:val="en-GB"/>
        </w:rPr>
      </w:pPr>
      <w:r>
        <w:rPr>
          <w:rStyle w:val="Fotnotsreferens"/>
        </w:rPr>
        <w:footnoteRef/>
      </w:r>
      <w:r w:rsidRPr="009F4356">
        <w:rPr>
          <w:lang w:val="sv-SE"/>
        </w:rPr>
        <w:t xml:space="preserve"> P Sztompka 1999, </w:t>
      </w:r>
      <w:r w:rsidR="00DC6480" w:rsidRPr="009F4356">
        <w:rPr>
          <w:lang w:val="sv-SE"/>
        </w:rPr>
        <w:t>pp</w:t>
      </w:r>
      <w:r w:rsidRPr="009F4356">
        <w:rPr>
          <w:lang w:val="sv-SE"/>
        </w:rPr>
        <w:t xml:space="preserve"> 38</w:t>
      </w:r>
      <w:r w:rsidR="00DC6480" w:rsidRPr="009F4356">
        <w:rPr>
          <w:lang w:val="sv-SE"/>
        </w:rPr>
        <w:t xml:space="preserve"> fp</w:t>
      </w:r>
      <w:r w:rsidRPr="009F4356">
        <w:rPr>
          <w:lang w:val="sv-SE"/>
        </w:rPr>
        <w:t xml:space="preserve">. </w:t>
      </w:r>
      <w:r w:rsidRPr="00DC6480">
        <w:rPr>
          <w:lang w:val="en-GB"/>
        </w:rPr>
        <w:t xml:space="preserve">Sztompka </w:t>
      </w:r>
      <w:r w:rsidR="00DC6480" w:rsidRPr="00DC6480">
        <w:rPr>
          <w:lang w:val="en-GB"/>
        </w:rPr>
        <w:t>problematize the notion of trust always to be good, see pp</w:t>
      </w:r>
      <w:r w:rsidRPr="00DC6480">
        <w:rPr>
          <w:lang w:val="en-GB"/>
        </w:rPr>
        <w:t xml:space="preserve"> 102-18.</w:t>
      </w:r>
    </w:p>
  </w:footnote>
  <w:footnote w:id="6">
    <w:p w:rsidR="000C71B2" w:rsidRDefault="0042057B">
      <w:pPr>
        <w:pStyle w:val="Fotnotstext"/>
        <w:jc w:val="both"/>
        <w:rPr>
          <w:lang w:val="en"/>
        </w:rPr>
      </w:pPr>
      <w:r>
        <w:rPr>
          <w:rStyle w:val="Fotnotsreferens"/>
        </w:rPr>
        <w:footnoteRef/>
      </w:r>
      <w:r>
        <w:t xml:space="preserve"> P Sztompka 1999, s 26. </w:t>
      </w:r>
      <w:r w:rsidR="00DC6480">
        <w:t>He also see</w:t>
      </w:r>
      <w:r w:rsidR="00FC5F40">
        <w:t>s</w:t>
      </w:r>
      <w:r w:rsidR="00DC6480">
        <w:t xml:space="preserve"> </w:t>
      </w:r>
      <w:r>
        <w:rPr>
          <w:lang w:val="en"/>
        </w:rPr>
        <w:t>”</w:t>
      </w:r>
      <w:r>
        <w:rPr>
          <w:i/>
          <w:iCs/>
          <w:lang w:val="en"/>
        </w:rPr>
        <w:t>trust is a quality of a relationship</w:t>
      </w:r>
      <w:r>
        <w:rPr>
          <w:lang w:val="en"/>
        </w:rPr>
        <w:t xml:space="preserve">”, </w:t>
      </w:r>
      <w:r w:rsidR="00DC6480">
        <w:rPr>
          <w:lang w:val="en"/>
        </w:rPr>
        <w:t>p</w:t>
      </w:r>
      <w:r>
        <w:rPr>
          <w:lang w:val="en"/>
        </w:rPr>
        <w:t xml:space="preserve"> 60.</w:t>
      </w:r>
    </w:p>
  </w:footnote>
  <w:footnote w:id="7">
    <w:p w:rsidR="000C71B2" w:rsidRPr="00DC6480" w:rsidRDefault="0042057B">
      <w:pPr>
        <w:pStyle w:val="Fotnotstext"/>
        <w:rPr>
          <w:lang w:val="en-GB"/>
        </w:rPr>
      </w:pPr>
      <w:r>
        <w:rPr>
          <w:rStyle w:val="Fotnotsreferens"/>
        </w:rPr>
        <w:footnoteRef/>
      </w:r>
      <w:r w:rsidRPr="00DC6480">
        <w:rPr>
          <w:lang w:val="en-GB"/>
        </w:rPr>
        <w:t xml:space="preserve"> P Sztompka 1999, </w:t>
      </w:r>
      <w:r w:rsidR="00DC6480" w:rsidRPr="00DC6480">
        <w:rPr>
          <w:lang w:val="en-GB"/>
        </w:rPr>
        <w:t>p</w:t>
      </w:r>
      <w:r w:rsidRPr="00DC6480">
        <w:rPr>
          <w:lang w:val="en-GB"/>
        </w:rPr>
        <w:t xml:space="preserve"> 25</w:t>
      </w:r>
      <w:r w:rsidR="00180B0E" w:rsidRPr="00DC6480">
        <w:rPr>
          <w:lang w:val="en-GB"/>
        </w:rPr>
        <w:t xml:space="preserve">, 30. </w:t>
      </w:r>
      <w:r w:rsidR="00DC6480" w:rsidRPr="00DC6480">
        <w:rPr>
          <w:lang w:val="en-GB"/>
        </w:rPr>
        <w:t xml:space="preserve">The quote from </w:t>
      </w:r>
      <w:r w:rsidR="00180B0E" w:rsidRPr="00DC6480">
        <w:rPr>
          <w:lang w:val="en-GB"/>
        </w:rPr>
        <w:t xml:space="preserve">Luhmann </w:t>
      </w:r>
      <w:r w:rsidR="00DC6480" w:rsidRPr="00DC6480">
        <w:rPr>
          <w:lang w:val="en-GB"/>
        </w:rPr>
        <w:t>in</w:t>
      </w:r>
      <w:r w:rsidR="00180B0E" w:rsidRPr="00DC6480">
        <w:rPr>
          <w:lang w:val="en-GB"/>
        </w:rPr>
        <w:t xml:space="preserve"> Sztompka</w:t>
      </w:r>
    </w:p>
  </w:footnote>
  <w:footnote w:id="8">
    <w:p w:rsidR="000C71B2" w:rsidRPr="00CF13BC" w:rsidRDefault="0042057B">
      <w:pPr>
        <w:pStyle w:val="Fotnotstext"/>
        <w:rPr>
          <w:lang w:val="en-GB"/>
        </w:rPr>
      </w:pPr>
      <w:r>
        <w:rPr>
          <w:rStyle w:val="Fotnotsreferens"/>
        </w:rPr>
        <w:footnoteRef/>
      </w:r>
      <w:r w:rsidRPr="00CF13BC">
        <w:rPr>
          <w:lang w:val="en-GB"/>
        </w:rPr>
        <w:t xml:space="preserve"> P Sztompka 1999, </w:t>
      </w:r>
      <w:r w:rsidR="00DC6480">
        <w:rPr>
          <w:lang w:val="en-GB"/>
        </w:rPr>
        <w:t>p</w:t>
      </w:r>
      <w:r w:rsidRPr="00CF13BC">
        <w:rPr>
          <w:lang w:val="en-GB"/>
        </w:rPr>
        <w:t xml:space="preserve"> 30</w:t>
      </w:r>
    </w:p>
  </w:footnote>
  <w:footnote w:id="9">
    <w:p w:rsidR="000C71B2" w:rsidRDefault="0042057B">
      <w:pPr>
        <w:pStyle w:val="Fotnotstext"/>
      </w:pPr>
      <w:r>
        <w:rPr>
          <w:rStyle w:val="Fotnotsreferens"/>
        </w:rPr>
        <w:footnoteRef/>
      </w:r>
      <w:r>
        <w:t xml:space="preserve"> P Sztompka 1999, </w:t>
      </w:r>
      <w:r w:rsidR="00DC6480">
        <w:t>p</w:t>
      </w:r>
      <w:r>
        <w:t xml:space="preserve"> 25</w:t>
      </w:r>
      <w:r w:rsidR="0080165A">
        <w:t>, 62</w:t>
      </w:r>
    </w:p>
  </w:footnote>
  <w:footnote w:id="10">
    <w:p w:rsidR="000C71B2" w:rsidRPr="00DC6480" w:rsidRDefault="0042057B">
      <w:pPr>
        <w:pStyle w:val="Fotnotstext"/>
        <w:jc w:val="both"/>
        <w:rPr>
          <w:lang w:val="en-GB"/>
        </w:rPr>
      </w:pPr>
      <w:r>
        <w:rPr>
          <w:rStyle w:val="Fotnotsreferens"/>
        </w:rPr>
        <w:footnoteRef/>
      </w:r>
      <w:r w:rsidRPr="002C4520">
        <w:rPr>
          <w:lang w:val="sv-SE"/>
        </w:rPr>
        <w:t xml:space="preserve"> </w:t>
      </w:r>
      <w:r w:rsidR="00C1454A" w:rsidRPr="00FC5F40">
        <w:rPr>
          <w:lang w:val="sv-SE"/>
        </w:rPr>
        <w:t xml:space="preserve">Lars Trädgårdh ed, </w:t>
      </w:r>
      <w:r w:rsidR="00C1454A" w:rsidRPr="00FC5F40">
        <w:rPr>
          <w:i/>
          <w:lang w:val="sv-SE"/>
        </w:rPr>
        <w:t>Tillit i det moderna Sverige. Den dumme svensken och andra mysterier</w:t>
      </w:r>
      <w:r w:rsidR="00C1454A">
        <w:rPr>
          <w:lang w:val="sv-SE"/>
        </w:rPr>
        <w:t xml:space="preserve">. </w:t>
      </w:r>
      <w:r w:rsidR="00C1454A" w:rsidRPr="009F4356">
        <w:rPr>
          <w:lang w:val="sv-SE"/>
        </w:rPr>
        <w:t xml:space="preserve">Stockholm 2009, pp 10-15; Russel Hardin, </w:t>
      </w:r>
      <w:r w:rsidR="00C1454A" w:rsidRPr="009F4356">
        <w:rPr>
          <w:i/>
          <w:lang w:val="sv-SE"/>
        </w:rPr>
        <w:t>Trust.</w:t>
      </w:r>
      <w:r w:rsidR="00C1454A" w:rsidRPr="009F4356">
        <w:rPr>
          <w:lang w:val="sv-SE"/>
        </w:rPr>
        <w:t xml:space="preserve"> </w:t>
      </w:r>
      <w:r w:rsidR="00C1454A" w:rsidRPr="003B6339">
        <w:rPr>
          <w:lang w:val="sv-SE"/>
        </w:rPr>
        <w:t>Oxford 2006, pp 17 fp; and Gunnar Aronsson &amp; Jan C Karlsson eds</w:t>
      </w:r>
      <w:r w:rsidR="00C1454A" w:rsidRPr="003B6339">
        <w:rPr>
          <w:i/>
          <w:lang w:val="sv-SE"/>
        </w:rPr>
        <w:t>, Tillitens ansikten</w:t>
      </w:r>
      <w:r w:rsidR="00C1454A" w:rsidRPr="003B6339">
        <w:rPr>
          <w:lang w:val="sv-SE"/>
        </w:rPr>
        <w:t xml:space="preserve">. Lund 2001, especially pp 14, 18-19; Erik Blennberger in L Trädgårdh 2009, pp 19-21; J L Ramirez, “Den mänskliga existensens grund – en undersökning om tillitens fenomenologi”, in G Aronsson &amp; J Karlsson 2001, pp 131 fp. </w:t>
      </w:r>
      <w:r w:rsidRPr="00DC6480">
        <w:rPr>
          <w:lang w:val="en-GB"/>
        </w:rPr>
        <w:t>P Sztompka 1999, s 41 f</w:t>
      </w:r>
      <w:r w:rsidR="00DC6480" w:rsidRPr="00DC6480">
        <w:rPr>
          <w:lang w:val="en-GB"/>
        </w:rPr>
        <w:t>p</w:t>
      </w:r>
      <w:r w:rsidRPr="00DC6480">
        <w:rPr>
          <w:lang w:val="en-GB"/>
        </w:rPr>
        <w:t xml:space="preserve"> </w:t>
      </w:r>
      <w:r w:rsidR="00DC6480" w:rsidRPr="00DC6480">
        <w:rPr>
          <w:lang w:val="en-GB"/>
        </w:rPr>
        <w:t>points out the differences in trust according to the art of the relation</w:t>
      </w:r>
      <w:r w:rsidRPr="00DC6480">
        <w:rPr>
          <w:lang w:val="en-GB"/>
        </w:rPr>
        <w:t>.</w:t>
      </w:r>
    </w:p>
  </w:footnote>
  <w:footnote w:id="11">
    <w:p w:rsidR="000C71B2" w:rsidRDefault="0042057B">
      <w:pPr>
        <w:pStyle w:val="Fotnotstext"/>
      </w:pPr>
      <w:r>
        <w:rPr>
          <w:rStyle w:val="Fotnotsreferens"/>
        </w:rPr>
        <w:footnoteRef/>
      </w:r>
      <w:r>
        <w:t xml:space="preserve"> R Putnam 2006, </w:t>
      </w:r>
      <w:r w:rsidR="00DC6480">
        <w:t>p</w:t>
      </w:r>
      <w:r w:rsidR="008A5E1C">
        <w:t xml:space="preserve"> 20</w:t>
      </w:r>
    </w:p>
  </w:footnote>
  <w:footnote w:id="12">
    <w:p w:rsidR="000C71B2" w:rsidRDefault="0042057B">
      <w:pPr>
        <w:pStyle w:val="Fotnotstext"/>
      </w:pPr>
      <w:r>
        <w:rPr>
          <w:rStyle w:val="Fotnotsreferens"/>
        </w:rPr>
        <w:footnoteRef/>
      </w:r>
      <w:r w:rsidR="00DC6480">
        <w:t xml:space="preserve"> R Putnam 2006, p</w:t>
      </w:r>
      <w:r>
        <w:t xml:space="preserve"> 20-21</w:t>
      </w:r>
    </w:p>
  </w:footnote>
  <w:footnote w:id="13">
    <w:p w:rsidR="00B718D9" w:rsidRPr="00467C48" w:rsidRDefault="00B718D9" w:rsidP="00B718D9">
      <w:pPr>
        <w:pStyle w:val="Fotnotstext"/>
        <w:jc w:val="both"/>
      </w:pPr>
      <w:r>
        <w:rPr>
          <w:rStyle w:val="Fotnotsreferens"/>
        </w:rPr>
        <w:footnoteRef/>
      </w:r>
      <w:r w:rsidRPr="00467C48">
        <w:t xml:space="preserve"> P Sztompka 1999, </w:t>
      </w:r>
      <w:r w:rsidR="00DC6480" w:rsidRPr="00467C48">
        <w:t>p</w:t>
      </w:r>
      <w:r w:rsidRPr="00467C48">
        <w:t xml:space="preserve"> 38-4</w:t>
      </w:r>
      <w:r w:rsidR="000777F6" w:rsidRPr="00467C48">
        <w:t>1</w:t>
      </w:r>
      <w:r w:rsidR="00467C48" w:rsidRPr="00467C48">
        <w:t xml:space="preserve">; Roger J Davies and Osamu Ikeno eds, </w:t>
      </w:r>
      <w:r w:rsidR="00467C48" w:rsidRPr="00467C48">
        <w:rPr>
          <w:i/>
        </w:rPr>
        <w:t xml:space="preserve">The Japanese Mind. </w:t>
      </w:r>
      <w:r w:rsidR="00467C48" w:rsidRPr="00C27B19">
        <w:rPr>
          <w:i/>
        </w:rPr>
        <w:t>Understanding Contemporary Culture</w:t>
      </w:r>
      <w:r w:rsidR="00467C48" w:rsidRPr="00C27B19">
        <w:t xml:space="preserve">. </w:t>
      </w:r>
      <w:r w:rsidR="00467C48" w:rsidRPr="00467C48">
        <w:t>Tokyo 2002</w:t>
      </w:r>
      <w:r w:rsidR="00C6261F">
        <w:t>, especially pp 17-21</w:t>
      </w:r>
      <w:r w:rsidR="00C1454A">
        <w:t>.</w:t>
      </w:r>
    </w:p>
  </w:footnote>
  <w:footnote w:id="14">
    <w:p w:rsidR="00A845D0" w:rsidRPr="00C27B19" w:rsidRDefault="00A845D0" w:rsidP="003B6339">
      <w:pPr>
        <w:pStyle w:val="Fotnotstext"/>
        <w:jc w:val="both"/>
      </w:pPr>
      <w:r>
        <w:rPr>
          <w:rStyle w:val="Fotnotsreferens"/>
        </w:rPr>
        <w:footnoteRef/>
      </w:r>
      <w:r w:rsidRPr="003B2694">
        <w:t xml:space="preserve"> C Ericsson, B Horgby &amp; S Ishihara</w:t>
      </w:r>
      <w:r w:rsidRPr="00C27B19">
        <w:t xml:space="preserve"> 2016, </w:t>
      </w:r>
      <w:r w:rsidR="00DC6480" w:rsidRPr="00C27B19">
        <w:t>chapter</w:t>
      </w:r>
      <w:r w:rsidRPr="00C27B19">
        <w:t xml:space="preserve"> 3.</w:t>
      </w:r>
    </w:p>
  </w:footnote>
  <w:footnote w:id="15">
    <w:p w:rsidR="00F66CF9" w:rsidRDefault="00F66CF9" w:rsidP="00F66CF9">
      <w:pPr>
        <w:pStyle w:val="Fotnotstext"/>
        <w:jc w:val="both"/>
        <w:rPr>
          <w:lang w:val="en"/>
        </w:rPr>
      </w:pPr>
      <w:r>
        <w:rPr>
          <w:rStyle w:val="Fotnotsreferens"/>
        </w:rPr>
        <w:footnoteRef/>
      </w:r>
      <w:r w:rsidRPr="00C27B19">
        <w:t xml:space="preserve"> C </w:t>
      </w:r>
      <w:r>
        <w:rPr>
          <w:lang w:val="en"/>
        </w:rPr>
        <w:t xml:space="preserve">Ericsson, B Horgby &amp; S Ishihara 2016, </w:t>
      </w:r>
      <w:r w:rsidR="008D254E">
        <w:rPr>
          <w:lang w:val="en"/>
        </w:rPr>
        <w:t>chapter</w:t>
      </w:r>
      <w:r>
        <w:rPr>
          <w:lang w:val="en"/>
        </w:rPr>
        <w:t xml:space="preserve"> 9</w:t>
      </w:r>
    </w:p>
  </w:footnote>
  <w:footnote w:id="16">
    <w:p w:rsidR="00132651" w:rsidRPr="00CF13BC" w:rsidRDefault="00132651">
      <w:pPr>
        <w:pStyle w:val="Fotnotstext"/>
        <w:rPr>
          <w:lang w:val="en-GB"/>
        </w:rPr>
      </w:pPr>
      <w:r>
        <w:rPr>
          <w:rStyle w:val="Fotnotsreferens"/>
        </w:rPr>
        <w:footnoteRef/>
      </w:r>
      <w:r>
        <w:t xml:space="preserve"> </w:t>
      </w:r>
      <w:r w:rsidRPr="00CF13BC">
        <w:rPr>
          <w:lang w:val="en-GB"/>
        </w:rPr>
        <w:t>C Ericsson, B Horgby &amp; S Ishihara 2016</w:t>
      </w:r>
    </w:p>
  </w:footnote>
  <w:footnote w:id="17">
    <w:p w:rsidR="00292B0A" w:rsidRPr="009F4356" w:rsidRDefault="00292B0A" w:rsidP="00292B0A">
      <w:pPr>
        <w:pStyle w:val="Fotnotstext"/>
        <w:jc w:val="both"/>
      </w:pPr>
      <w:r>
        <w:rPr>
          <w:rStyle w:val="Fotnotsreferens"/>
        </w:rPr>
        <w:footnoteRef/>
      </w:r>
      <w:r w:rsidRPr="00DC6480">
        <w:rPr>
          <w:lang w:val="en-GB"/>
        </w:rPr>
        <w:t xml:space="preserve"> A Papakostas 2009, s 61 </w:t>
      </w:r>
      <w:r w:rsidR="008D254E" w:rsidRPr="00DC6480">
        <w:rPr>
          <w:lang w:val="en-GB"/>
        </w:rPr>
        <w:t>fp</w:t>
      </w:r>
      <w:r w:rsidRPr="00DC6480">
        <w:rPr>
          <w:lang w:val="en-GB"/>
        </w:rPr>
        <w:t xml:space="preserve">, 79 </w:t>
      </w:r>
      <w:r w:rsidR="008D254E" w:rsidRPr="00DC6480">
        <w:rPr>
          <w:lang w:val="en-GB"/>
        </w:rPr>
        <w:t>fp</w:t>
      </w:r>
      <w:r w:rsidRPr="00DC6480">
        <w:rPr>
          <w:lang w:val="en-GB"/>
        </w:rPr>
        <w:t xml:space="preserve"> </w:t>
      </w:r>
      <w:r w:rsidR="008D254E" w:rsidRPr="00DC6480">
        <w:rPr>
          <w:lang w:val="en-GB"/>
        </w:rPr>
        <w:t>discuss</w:t>
      </w:r>
      <w:r w:rsidR="009F4356">
        <w:rPr>
          <w:lang w:val="en-GB"/>
        </w:rPr>
        <w:t>es</w:t>
      </w:r>
      <w:r w:rsidR="008D254E" w:rsidRPr="00DC6480">
        <w:rPr>
          <w:lang w:val="en-GB"/>
        </w:rPr>
        <w:t xml:space="preserve"> </w:t>
      </w:r>
      <w:r w:rsidR="00763FC1" w:rsidRPr="00DC6480">
        <w:rPr>
          <w:lang w:val="en-GB"/>
        </w:rPr>
        <w:t>transpare</w:t>
      </w:r>
      <w:r w:rsidR="00763FC1">
        <w:rPr>
          <w:lang w:val="en-GB"/>
        </w:rPr>
        <w:t>n</w:t>
      </w:r>
      <w:r w:rsidR="00763FC1" w:rsidRPr="00DC6480">
        <w:rPr>
          <w:lang w:val="en-GB"/>
        </w:rPr>
        <w:t>cy</w:t>
      </w:r>
      <w:r w:rsidR="008D254E" w:rsidRPr="00DC6480">
        <w:rPr>
          <w:lang w:val="en-GB"/>
        </w:rPr>
        <w:t xml:space="preserve"> in an organization</w:t>
      </w:r>
      <w:r w:rsidRPr="00DC6480">
        <w:rPr>
          <w:lang w:val="en-GB"/>
        </w:rPr>
        <w:t xml:space="preserve">. </w:t>
      </w:r>
      <w:r w:rsidR="00DC6480" w:rsidRPr="009F4356">
        <w:t xml:space="preserve">About trust and legitimation, </w:t>
      </w:r>
      <w:r w:rsidRPr="009F4356">
        <w:t xml:space="preserve">P Sztompka 1999 </w:t>
      </w:r>
      <w:r w:rsidR="00DC6480" w:rsidRPr="009F4356">
        <w:t>p</w:t>
      </w:r>
      <w:r w:rsidRPr="009F4356">
        <w:t xml:space="preserve"> 45.</w:t>
      </w:r>
    </w:p>
  </w:footnote>
  <w:footnote w:id="18">
    <w:p w:rsidR="00292B0A" w:rsidRPr="008D254E" w:rsidRDefault="00292B0A" w:rsidP="00292B0A">
      <w:pPr>
        <w:pStyle w:val="Fotnotstext"/>
        <w:jc w:val="both"/>
        <w:rPr>
          <w:lang w:val="en-GB"/>
        </w:rPr>
      </w:pPr>
      <w:r>
        <w:rPr>
          <w:rStyle w:val="Fotnotsreferens"/>
        </w:rPr>
        <w:footnoteRef/>
      </w:r>
      <w:r w:rsidRPr="008D254E">
        <w:rPr>
          <w:lang w:val="en-GB"/>
        </w:rPr>
        <w:t xml:space="preserve"> P Sztompka 1999, s 48-53 </w:t>
      </w:r>
      <w:r w:rsidR="008D254E" w:rsidRPr="008D254E">
        <w:rPr>
          <w:lang w:val="en-GB"/>
        </w:rPr>
        <w:t xml:space="preserve">equals this problem in his discussion of trust to the </w:t>
      </w:r>
      <w:r w:rsidRPr="008D254E">
        <w:rPr>
          <w:lang w:val="en-GB"/>
        </w:rPr>
        <w:t>ombudsman.</w:t>
      </w:r>
    </w:p>
  </w:footnote>
  <w:footnote w:id="19">
    <w:p w:rsidR="00E44C80" w:rsidRPr="008D254E" w:rsidRDefault="00E44C80" w:rsidP="00E44C80">
      <w:pPr>
        <w:pStyle w:val="Fotnotstext"/>
        <w:jc w:val="both"/>
        <w:rPr>
          <w:lang w:val="en-GB"/>
        </w:rPr>
      </w:pPr>
      <w:r>
        <w:rPr>
          <w:rStyle w:val="Fotnotsreferens"/>
        </w:rPr>
        <w:footnoteRef/>
      </w:r>
      <w:r w:rsidRPr="008D254E">
        <w:rPr>
          <w:lang w:val="en-GB"/>
        </w:rPr>
        <w:t xml:space="preserve"> </w:t>
      </w:r>
      <w:r w:rsidR="008D254E" w:rsidRPr="008D254E">
        <w:rPr>
          <w:lang w:val="en-GB"/>
        </w:rPr>
        <w:t xml:space="preserve">For example, ongoing research of the democratic conditions and the management of the Swedish elite sport organizations by </w:t>
      </w:r>
      <w:r w:rsidRPr="008D254E">
        <w:rPr>
          <w:lang w:val="en-GB"/>
        </w:rPr>
        <w:t xml:space="preserve">Björn Horgby, Christer Ericsson </w:t>
      </w:r>
      <w:r w:rsidR="008D254E" w:rsidRPr="008D254E">
        <w:rPr>
          <w:lang w:val="en-GB"/>
        </w:rPr>
        <w:t>and</w:t>
      </w:r>
      <w:r w:rsidRPr="008D254E">
        <w:rPr>
          <w:lang w:val="en-GB"/>
        </w:rPr>
        <w:t xml:space="preserve"> Bill Sund</w:t>
      </w:r>
      <w:r w:rsidR="00763FC1">
        <w:rPr>
          <w:lang w:val="en-GB"/>
        </w:rPr>
        <w:t>.</w:t>
      </w:r>
    </w:p>
  </w:footnote>
  <w:footnote w:id="20">
    <w:p w:rsidR="004C6C26" w:rsidRPr="003B6339" w:rsidRDefault="004C6C26" w:rsidP="004C6C26">
      <w:pPr>
        <w:pStyle w:val="Fotnotstext"/>
        <w:rPr>
          <w:lang w:val="en-GB"/>
        </w:rPr>
      </w:pPr>
      <w:r>
        <w:rPr>
          <w:rStyle w:val="Fotnotsreferens"/>
        </w:rPr>
        <w:footnoteRef/>
      </w:r>
      <w:r w:rsidRPr="003B6339">
        <w:rPr>
          <w:lang w:val="en-GB"/>
        </w:rPr>
        <w:t xml:space="preserve"> M</w:t>
      </w:r>
      <w:r w:rsidR="003B6339" w:rsidRPr="003B6339">
        <w:rPr>
          <w:lang w:val="en-GB"/>
        </w:rPr>
        <w:t>arcel</w:t>
      </w:r>
      <w:r w:rsidRPr="003B6339">
        <w:rPr>
          <w:lang w:val="en-GB"/>
        </w:rPr>
        <w:t xml:space="preserve"> Mauss</w:t>
      </w:r>
      <w:r w:rsidR="003B6339" w:rsidRPr="003B6339">
        <w:rPr>
          <w:lang w:val="en-GB"/>
        </w:rPr>
        <w:t xml:space="preserve">, </w:t>
      </w:r>
      <w:r w:rsidR="003B6339" w:rsidRPr="003B6339">
        <w:rPr>
          <w:i/>
          <w:lang w:val="en-GB"/>
        </w:rPr>
        <w:t>Gåvan</w:t>
      </w:r>
      <w:r w:rsidR="003B6339" w:rsidRPr="003B6339">
        <w:rPr>
          <w:lang w:val="en-GB"/>
        </w:rPr>
        <w:t>.</w:t>
      </w:r>
      <w:r w:rsidR="003B6339">
        <w:rPr>
          <w:lang w:val="en-GB"/>
        </w:rPr>
        <w:t xml:space="preserve"> Uppsala</w:t>
      </w:r>
      <w:r w:rsidRPr="003B6339">
        <w:rPr>
          <w:lang w:val="en-GB"/>
        </w:rPr>
        <w:t xml:space="preserve"> 1972</w:t>
      </w:r>
    </w:p>
  </w:footnote>
  <w:footnote w:id="21">
    <w:p w:rsidR="004C6C26" w:rsidRPr="008D254E" w:rsidRDefault="004C6C26" w:rsidP="004C6C26">
      <w:pPr>
        <w:pStyle w:val="Fotnotstext"/>
        <w:rPr>
          <w:lang w:val="en-GB"/>
        </w:rPr>
      </w:pPr>
      <w:r>
        <w:rPr>
          <w:rStyle w:val="Fotnotsreferens"/>
        </w:rPr>
        <w:footnoteRef/>
      </w:r>
      <w:r w:rsidRPr="008D254E">
        <w:rPr>
          <w:lang w:val="en-GB"/>
        </w:rPr>
        <w:t xml:space="preserve"> </w:t>
      </w:r>
      <w:r w:rsidR="008D254E" w:rsidRPr="008D254E">
        <w:rPr>
          <w:lang w:val="en-GB"/>
        </w:rPr>
        <w:t>A</w:t>
      </w:r>
      <w:r w:rsidR="003B6339">
        <w:rPr>
          <w:lang w:val="en-GB"/>
        </w:rPr>
        <w:t>b</w:t>
      </w:r>
      <w:r w:rsidR="008D254E" w:rsidRPr="008D254E">
        <w:rPr>
          <w:lang w:val="en-GB"/>
        </w:rPr>
        <w:t>out trust and the creation of social order</w:t>
      </w:r>
      <w:r w:rsidRPr="008D254E">
        <w:rPr>
          <w:lang w:val="en-GB"/>
        </w:rPr>
        <w:t>, se</w:t>
      </w:r>
      <w:r w:rsidR="008D254E" w:rsidRPr="008D254E">
        <w:rPr>
          <w:lang w:val="en-GB"/>
        </w:rPr>
        <w:t>e</w:t>
      </w:r>
      <w:r w:rsidRPr="008D254E">
        <w:rPr>
          <w:lang w:val="en-GB"/>
        </w:rPr>
        <w:t xml:space="preserve"> G Aronsson &amp; J Karlsson 2001, </w:t>
      </w:r>
      <w:r w:rsidR="008D254E">
        <w:rPr>
          <w:lang w:val="en-GB"/>
        </w:rPr>
        <w:t>pp</w:t>
      </w:r>
      <w:r w:rsidRPr="008D254E">
        <w:rPr>
          <w:lang w:val="en-GB"/>
        </w:rPr>
        <w:t xml:space="preserve"> 15-18.</w:t>
      </w:r>
    </w:p>
  </w:footnote>
  <w:footnote w:id="22">
    <w:p w:rsidR="004C6C26" w:rsidRPr="008D254E" w:rsidRDefault="004C6C26" w:rsidP="004C6C26">
      <w:pPr>
        <w:pStyle w:val="Fotnotstext"/>
        <w:jc w:val="both"/>
        <w:rPr>
          <w:lang w:val="en-GB"/>
        </w:rPr>
      </w:pPr>
      <w:r>
        <w:rPr>
          <w:rStyle w:val="Fotnotsreferens"/>
        </w:rPr>
        <w:footnoteRef/>
      </w:r>
      <w:r w:rsidRPr="008D254E">
        <w:rPr>
          <w:lang w:val="en-GB"/>
        </w:rPr>
        <w:t xml:space="preserve"> F</w:t>
      </w:r>
      <w:r w:rsidR="003B6339">
        <w:rPr>
          <w:lang w:val="en-GB"/>
        </w:rPr>
        <w:t>rancis</w:t>
      </w:r>
      <w:r w:rsidRPr="008D254E">
        <w:rPr>
          <w:lang w:val="en-GB"/>
        </w:rPr>
        <w:t xml:space="preserve"> Fukuyama</w:t>
      </w:r>
      <w:r w:rsidR="003B6339">
        <w:rPr>
          <w:lang w:val="en-GB"/>
        </w:rPr>
        <w:t>,</w:t>
      </w:r>
      <w:r w:rsidRPr="008D254E">
        <w:rPr>
          <w:lang w:val="en-GB"/>
        </w:rPr>
        <w:t xml:space="preserve"> </w:t>
      </w:r>
      <w:r w:rsidR="003B6339" w:rsidRPr="003B6339">
        <w:rPr>
          <w:i/>
          <w:lang w:val="en-GB"/>
        </w:rPr>
        <w:t>Trust. The Social Virtues and the Creation of Prosperity</w:t>
      </w:r>
      <w:r w:rsidR="003B6339">
        <w:rPr>
          <w:lang w:val="en-GB"/>
        </w:rPr>
        <w:t xml:space="preserve">. London </w:t>
      </w:r>
      <w:r w:rsidRPr="008D254E">
        <w:rPr>
          <w:lang w:val="en-GB"/>
        </w:rPr>
        <w:t>1995</w:t>
      </w:r>
      <w:r w:rsidR="008D254E" w:rsidRPr="008D254E">
        <w:rPr>
          <w:lang w:val="en-GB"/>
        </w:rPr>
        <w:t xml:space="preserve"> considers Taylorism is characterized by low trust and </w:t>
      </w:r>
      <w:r w:rsidR="008D254E">
        <w:rPr>
          <w:lang w:val="en-GB"/>
        </w:rPr>
        <w:t>comprehensive control</w:t>
      </w:r>
      <w:r w:rsidRPr="008D254E">
        <w:rPr>
          <w:lang w:val="en-GB"/>
        </w:rPr>
        <w:t>.</w:t>
      </w:r>
      <w:r w:rsidR="00463BF3" w:rsidRPr="008D254E">
        <w:rPr>
          <w:lang w:val="en-GB"/>
        </w:rPr>
        <w:t xml:space="preserve"> </w:t>
      </w:r>
      <w:r w:rsidR="008D254E">
        <w:rPr>
          <w:lang w:val="en-GB"/>
        </w:rPr>
        <w:t>Also</w:t>
      </w:r>
      <w:r w:rsidR="00463BF3" w:rsidRPr="008D254E">
        <w:rPr>
          <w:lang w:val="en-GB"/>
        </w:rPr>
        <w:t xml:space="preserve"> C Ericsson, B Horgby &amp; S Ishihara 2016.</w:t>
      </w:r>
    </w:p>
  </w:footnote>
  <w:footnote w:id="23">
    <w:p w:rsidR="00AF7E75" w:rsidRPr="00E87B13" w:rsidRDefault="00AF7E75" w:rsidP="00E22C67">
      <w:pPr>
        <w:jc w:val="both"/>
        <w:rPr>
          <w:sz w:val="20"/>
          <w:szCs w:val="20"/>
          <w:lang w:val="en-GB"/>
        </w:rPr>
      </w:pPr>
      <w:r w:rsidRPr="0007573A">
        <w:rPr>
          <w:rStyle w:val="Fotnotsreferens"/>
          <w:sz w:val="20"/>
          <w:szCs w:val="20"/>
        </w:rPr>
        <w:footnoteRef/>
      </w:r>
      <w:r w:rsidRPr="00E87B13">
        <w:rPr>
          <w:sz w:val="20"/>
          <w:szCs w:val="20"/>
          <w:lang w:val="en-GB"/>
        </w:rPr>
        <w:t xml:space="preserve"> B Horgby 2012, </w:t>
      </w:r>
      <w:r w:rsidR="00E87B13" w:rsidRPr="00E87B13">
        <w:rPr>
          <w:sz w:val="20"/>
          <w:szCs w:val="20"/>
          <w:lang w:val="en-GB"/>
        </w:rPr>
        <w:t xml:space="preserve">chapter </w:t>
      </w:r>
      <w:r w:rsidRPr="00E87B13">
        <w:rPr>
          <w:sz w:val="20"/>
          <w:szCs w:val="20"/>
          <w:lang w:val="en-GB"/>
        </w:rPr>
        <w:t xml:space="preserve">11 </w:t>
      </w:r>
      <w:r w:rsidR="00E87B13" w:rsidRPr="00E87B13">
        <w:rPr>
          <w:sz w:val="20"/>
          <w:szCs w:val="20"/>
          <w:lang w:val="en-GB"/>
        </w:rPr>
        <w:t>and</w:t>
      </w:r>
      <w:r w:rsidRPr="00E87B13">
        <w:rPr>
          <w:sz w:val="20"/>
          <w:szCs w:val="20"/>
          <w:lang w:val="en-GB"/>
        </w:rPr>
        <w:t xml:space="preserve"> 12</w:t>
      </w:r>
      <w:r w:rsidR="00E87B13" w:rsidRPr="00E87B13">
        <w:rPr>
          <w:sz w:val="20"/>
          <w:szCs w:val="20"/>
          <w:lang w:val="en-GB"/>
        </w:rPr>
        <w:t>; C Ericsson, B Horgby &amp; S Ishihara 2016, chapter 7</w:t>
      </w:r>
      <w:r w:rsidRPr="00E87B13">
        <w:rPr>
          <w:sz w:val="20"/>
          <w:szCs w:val="20"/>
          <w:lang w:val="en-GB"/>
        </w:rPr>
        <w:t>.</w:t>
      </w:r>
      <w:r w:rsidR="00E22C67">
        <w:rPr>
          <w:sz w:val="20"/>
          <w:szCs w:val="20"/>
          <w:lang w:val="en-GB"/>
        </w:rPr>
        <w:t xml:space="preserve"> Overlapping interests are not the same as the same interest</w:t>
      </w:r>
      <w:r w:rsidR="00C1454A">
        <w:rPr>
          <w:sz w:val="20"/>
          <w:szCs w:val="20"/>
          <w:lang w:val="en-GB"/>
        </w:rPr>
        <w:t>. Here there is a difference between conflict and consensus</w:t>
      </w:r>
      <w:r w:rsidR="00EE50B5">
        <w:rPr>
          <w:sz w:val="20"/>
          <w:szCs w:val="20"/>
          <w:lang w:val="en-GB"/>
        </w:rPr>
        <w:t>.</w:t>
      </w:r>
    </w:p>
  </w:footnote>
  <w:footnote w:id="24">
    <w:p w:rsidR="003E4B4F" w:rsidRPr="009F4356" w:rsidRDefault="003E4B4F" w:rsidP="0007573A">
      <w:pPr>
        <w:pStyle w:val="Fotnotstext"/>
      </w:pPr>
      <w:r>
        <w:rPr>
          <w:rStyle w:val="Fotnotsreferens"/>
        </w:rPr>
        <w:footnoteRef/>
      </w:r>
      <w:r w:rsidRPr="00211E5A">
        <w:rPr>
          <w:lang w:val="en-GB"/>
        </w:rPr>
        <w:t xml:space="preserve"> C</w:t>
      </w:r>
      <w:r w:rsidR="003B6339" w:rsidRPr="00211E5A">
        <w:rPr>
          <w:lang w:val="en-GB"/>
        </w:rPr>
        <w:t>hrister</w:t>
      </w:r>
      <w:r w:rsidRPr="00211E5A">
        <w:rPr>
          <w:lang w:val="en-GB"/>
        </w:rPr>
        <w:t xml:space="preserve"> Ericsson</w:t>
      </w:r>
      <w:r w:rsidR="003B6339" w:rsidRPr="00211E5A">
        <w:rPr>
          <w:lang w:val="en-GB"/>
        </w:rPr>
        <w:t xml:space="preserve">, </w:t>
      </w:r>
      <w:r w:rsidR="003B6339" w:rsidRPr="00211E5A">
        <w:rPr>
          <w:i/>
          <w:lang w:val="en-GB"/>
        </w:rPr>
        <w:t>Kapitalets politik och politikens kapital</w:t>
      </w:r>
      <w:r w:rsidR="003B6339" w:rsidRPr="00211E5A">
        <w:rPr>
          <w:lang w:val="en-GB"/>
        </w:rPr>
        <w:t xml:space="preserve">. </w:t>
      </w:r>
      <w:r w:rsidR="003B6339" w:rsidRPr="009F4356">
        <w:t>Stockholm</w:t>
      </w:r>
      <w:r w:rsidRPr="009F4356">
        <w:t xml:space="preserve"> 2008</w:t>
      </w:r>
    </w:p>
  </w:footnote>
  <w:footnote w:id="25">
    <w:p w:rsidR="008829EC" w:rsidRPr="008D254E" w:rsidRDefault="008829EC" w:rsidP="008829EC">
      <w:pPr>
        <w:pStyle w:val="Fotnotstext"/>
        <w:jc w:val="both"/>
        <w:rPr>
          <w:lang w:val="en-GB"/>
        </w:rPr>
      </w:pPr>
      <w:r>
        <w:rPr>
          <w:rStyle w:val="Fotnotsreferens"/>
        </w:rPr>
        <w:footnoteRef/>
      </w:r>
      <w:r w:rsidRPr="008D254E">
        <w:rPr>
          <w:lang w:val="en-GB"/>
        </w:rPr>
        <w:t xml:space="preserve"> C Ericsson, B Horgby &amp; S Ishihara 2016; </w:t>
      </w:r>
      <w:r w:rsidR="008D254E" w:rsidRPr="008D254E">
        <w:rPr>
          <w:lang w:val="en-GB"/>
        </w:rPr>
        <w:t>for the connection citi</w:t>
      </w:r>
      <w:r w:rsidR="008D254E">
        <w:rPr>
          <w:lang w:val="en-GB"/>
        </w:rPr>
        <w:t>z</w:t>
      </w:r>
      <w:r w:rsidR="008D254E" w:rsidRPr="008D254E">
        <w:rPr>
          <w:lang w:val="en-GB"/>
        </w:rPr>
        <w:t xml:space="preserve">enship and trust, </w:t>
      </w:r>
      <w:r w:rsidRPr="008D254E">
        <w:rPr>
          <w:lang w:val="en-GB"/>
        </w:rPr>
        <w:t>A Papakostas 2009, s 139 f</w:t>
      </w:r>
      <w:r w:rsidR="008D254E">
        <w:rPr>
          <w:lang w:val="en-GB"/>
        </w:rPr>
        <w:t>p</w:t>
      </w:r>
      <w:r w:rsidRPr="008D254E">
        <w:rPr>
          <w:lang w:val="en-GB"/>
        </w:rPr>
        <w:t>.</w:t>
      </w:r>
    </w:p>
  </w:footnote>
  <w:footnote w:id="26">
    <w:p w:rsidR="00406355" w:rsidRPr="008D254E" w:rsidRDefault="00406355" w:rsidP="007816E6">
      <w:pPr>
        <w:pStyle w:val="Fotnotstext"/>
        <w:jc w:val="both"/>
        <w:rPr>
          <w:lang w:val="en-GB"/>
        </w:rPr>
      </w:pPr>
      <w:r>
        <w:rPr>
          <w:rStyle w:val="Fotnotsreferens"/>
        </w:rPr>
        <w:footnoteRef/>
      </w:r>
      <w:r w:rsidRPr="008D254E">
        <w:rPr>
          <w:lang w:val="en-GB"/>
        </w:rPr>
        <w:t xml:space="preserve"> C Ericsson, B Horgby &amp; S Ishihara 2016</w:t>
      </w:r>
      <w:r w:rsidR="007816E6" w:rsidRPr="008D254E">
        <w:rPr>
          <w:lang w:val="en-GB"/>
        </w:rPr>
        <w:t xml:space="preserve">; F Fukuyama 1995 </w:t>
      </w:r>
      <w:r w:rsidR="008D254E" w:rsidRPr="008D254E">
        <w:rPr>
          <w:lang w:val="en-GB"/>
        </w:rPr>
        <w:t>points out the post</w:t>
      </w:r>
      <w:r w:rsidR="008D254E">
        <w:rPr>
          <w:lang w:val="en-GB"/>
        </w:rPr>
        <w:t xml:space="preserve"> Taylor</w:t>
      </w:r>
      <w:r w:rsidR="008D254E" w:rsidRPr="008D254E">
        <w:rPr>
          <w:lang w:val="en-GB"/>
        </w:rPr>
        <w:t xml:space="preserve"> lean concept is built on a high degree of trust</w:t>
      </w:r>
      <w:r w:rsidR="007816E6" w:rsidRPr="008D254E">
        <w:rPr>
          <w:lang w:val="en-GB"/>
        </w:rPr>
        <w:t>.</w:t>
      </w:r>
    </w:p>
  </w:footnote>
  <w:footnote w:id="27">
    <w:p w:rsidR="00D70757" w:rsidRPr="00D70757" w:rsidRDefault="00D70757">
      <w:pPr>
        <w:pStyle w:val="Fotnotstext"/>
      </w:pPr>
      <w:r>
        <w:rPr>
          <w:rStyle w:val="Fotnotsreferens"/>
        </w:rPr>
        <w:footnoteRef/>
      </w:r>
      <w:r>
        <w:t xml:space="preserve"> C Ericsson, B Horgby &amp; S Ishihara 2016; C Ericsson 2014</w:t>
      </w:r>
    </w:p>
  </w:footnote>
  <w:footnote w:id="28">
    <w:p w:rsidR="006E6352" w:rsidRPr="006E6352" w:rsidRDefault="006E6352">
      <w:pPr>
        <w:pStyle w:val="Fotnotstext"/>
      </w:pPr>
      <w:r>
        <w:rPr>
          <w:rStyle w:val="Fotnotsreferens"/>
        </w:rPr>
        <w:footnoteRef/>
      </w:r>
      <w:r>
        <w:t xml:space="preserve"> C Ericsson, B Horgby &amp; S Ishihara 2016, chapter 5, 6 and 7</w:t>
      </w:r>
    </w:p>
  </w:footnote>
  <w:footnote w:id="29">
    <w:p w:rsidR="000C71B2" w:rsidRDefault="0042057B" w:rsidP="007A429D">
      <w:pPr>
        <w:autoSpaceDE w:val="0"/>
        <w:autoSpaceDN w:val="0"/>
        <w:adjustRightInd w:val="0"/>
        <w:jc w:val="both"/>
        <w:rPr>
          <w:lang w:val="en"/>
        </w:rPr>
      </w:pPr>
      <w:r w:rsidRPr="007A429D">
        <w:rPr>
          <w:rStyle w:val="Fotnotsreferens"/>
          <w:sz w:val="20"/>
          <w:szCs w:val="20"/>
        </w:rPr>
        <w:footnoteRef/>
      </w:r>
      <w:r w:rsidRPr="007A429D">
        <w:rPr>
          <w:sz w:val="20"/>
          <w:szCs w:val="20"/>
          <w:lang w:val="en"/>
        </w:rPr>
        <w:t xml:space="preserve"> </w:t>
      </w:r>
      <w:r w:rsidR="00251C94">
        <w:rPr>
          <w:sz w:val="20"/>
          <w:szCs w:val="20"/>
          <w:lang w:val="en"/>
        </w:rPr>
        <w:t>For an example</w:t>
      </w:r>
      <w:r w:rsidRPr="007A429D">
        <w:rPr>
          <w:sz w:val="20"/>
          <w:szCs w:val="20"/>
          <w:lang w:val="en"/>
        </w:rPr>
        <w:t xml:space="preserve"> </w:t>
      </w:r>
      <w:r w:rsidRPr="007A429D">
        <w:rPr>
          <w:i/>
          <w:iCs/>
          <w:sz w:val="20"/>
          <w:szCs w:val="20"/>
          <w:lang w:val="en"/>
        </w:rPr>
        <w:t>The National Diet of Japan</w:t>
      </w:r>
      <w:r w:rsidRPr="007A429D">
        <w:rPr>
          <w:sz w:val="20"/>
          <w:szCs w:val="20"/>
          <w:lang w:val="en"/>
        </w:rPr>
        <w:t>, The Official Report of The Fukoshima Nuclear Accident Independent</w:t>
      </w:r>
      <w:r>
        <w:rPr>
          <w:sz w:val="20"/>
          <w:lang w:val="en"/>
        </w:rPr>
        <w:t xml:space="preserve"> Investi</w:t>
      </w:r>
      <w:r w:rsidR="00251C94">
        <w:rPr>
          <w:sz w:val="20"/>
          <w:lang w:val="en"/>
        </w:rPr>
        <w:t>g</w:t>
      </w:r>
      <w:r>
        <w:rPr>
          <w:sz w:val="20"/>
          <w:lang w:val="en"/>
        </w:rPr>
        <w:t>ation Commission, Executive Summary. Tokyo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42057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0C71B2" w:rsidRDefault="000C71B2">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42057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A0802">
      <w:rPr>
        <w:rStyle w:val="Sidnummer"/>
        <w:noProof/>
      </w:rPr>
      <w:t>1</w:t>
    </w:r>
    <w:r>
      <w:rPr>
        <w:rStyle w:val="Sidnummer"/>
      </w:rPr>
      <w:fldChar w:fldCharType="end"/>
    </w:r>
  </w:p>
  <w:p w:rsidR="000C71B2" w:rsidRDefault="000C71B2">
    <w:pPr>
      <w:pStyle w:val="Sidhuvud"/>
      <w:ind w:right="360"/>
      <w:jc w:val="right"/>
    </w:pPr>
  </w:p>
  <w:p w:rsidR="000C71B2" w:rsidRDefault="000C71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B2" w:rsidRDefault="000C71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352"/>
    <w:multiLevelType w:val="hybridMultilevel"/>
    <w:tmpl w:val="8A1E30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06A5C"/>
    <w:multiLevelType w:val="hybridMultilevel"/>
    <w:tmpl w:val="43F6B092"/>
    <w:lvl w:ilvl="0" w:tplc="BC827B3C">
      <w:numFmt w:val="bullet"/>
      <w:lvlText w:val="-"/>
      <w:lvlJc w:val="left"/>
      <w:pPr>
        <w:tabs>
          <w:tab w:val="num" w:pos="540"/>
        </w:tabs>
        <w:ind w:left="540" w:hanging="360"/>
      </w:pPr>
      <w:rPr>
        <w:rFonts w:ascii="Times New Roman" w:eastAsia="SimSun" w:hAnsi="Times New Roman" w:hint="default"/>
      </w:rPr>
    </w:lvl>
    <w:lvl w:ilvl="1" w:tplc="041D0003" w:tentative="1">
      <w:start w:val="1"/>
      <w:numFmt w:val="bullet"/>
      <w:lvlText w:val="o"/>
      <w:lvlJc w:val="left"/>
      <w:pPr>
        <w:tabs>
          <w:tab w:val="num" w:pos="1260"/>
        </w:tabs>
        <w:ind w:left="1260" w:hanging="360"/>
      </w:pPr>
      <w:rPr>
        <w:rFonts w:ascii="Courier New" w:hAnsi="Courier New" w:hint="default"/>
      </w:rPr>
    </w:lvl>
    <w:lvl w:ilvl="2" w:tplc="041D0005" w:tentative="1">
      <w:start w:val="1"/>
      <w:numFmt w:val="bullet"/>
      <w:lvlText w:val=""/>
      <w:lvlJc w:val="left"/>
      <w:pPr>
        <w:tabs>
          <w:tab w:val="num" w:pos="1980"/>
        </w:tabs>
        <w:ind w:left="1980" w:hanging="360"/>
      </w:pPr>
      <w:rPr>
        <w:rFonts w:ascii="Wingdings" w:hAnsi="Wingdings" w:hint="default"/>
      </w:rPr>
    </w:lvl>
    <w:lvl w:ilvl="3" w:tplc="041D0001" w:tentative="1">
      <w:start w:val="1"/>
      <w:numFmt w:val="bullet"/>
      <w:lvlText w:val=""/>
      <w:lvlJc w:val="left"/>
      <w:pPr>
        <w:tabs>
          <w:tab w:val="num" w:pos="2700"/>
        </w:tabs>
        <w:ind w:left="2700" w:hanging="360"/>
      </w:pPr>
      <w:rPr>
        <w:rFonts w:ascii="Symbol" w:hAnsi="Symbol" w:hint="default"/>
      </w:rPr>
    </w:lvl>
    <w:lvl w:ilvl="4" w:tplc="041D0003" w:tentative="1">
      <w:start w:val="1"/>
      <w:numFmt w:val="bullet"/>
      <w:lvlText w:val="o"/>
      <w:lvlJc w:val="left"/>
      <w:pPr>
        <w:tabs>
          <w:tab w:val="num" w:pos="3420"/>
        </w:tabs>
        <w:ind w:left="3420" w:hanging="360"/>
      </w:pPr>
      <w:rPr>
        <w:rFonts w:ascii="Courier New" w:hAnsi="Courier New" w:hint="default"/>
      </w:rPr>
    </w:lvl>
    <w:lvl w:ilvl="5" w:tplc="041D0005" w:tentative="1">
      <w:start w:val="1"/>
      <w:numFmt w:val="bullet"/>
      <w:lvlText w:val=""/>
      <w:lvlJc w:val="left"/>
      <w:pPr>
        <w:tabs>
          <w:tab w:val="num" w:pos="4140"/>
        </w:tabs>
        <w:ind w:left="4140" w:hanging="360"/>
      </w:pPr>
      <w:rPr>
        <w:rFonts w:ascii="Wingdings" w:hAnsi="Wingdings" w:hint="default"/>
      </w:rPr>
    </w:lvl>
    <w:lvl w:ilvl="6" w:tplc="041D0001" w:tentative="1">
      <w:start w:val="1"/>
      <w:numFmt w:val="bullet"/>
      <w:lvlText w:val=""/>
      <w:lvlJc w:val="left"/>
      <w:pPr>
        <w:tabs>
          <w:tab w:val="num" w:pos="4860"/>
        </w:tabs>
        <w:ind w:left="4860" w:hanging="360"/>
      </w:pPr>
      <w:rPr>
        <w:rFonts w:ascii="Symbol" w:hAnsi="Symbol" w:hint="default"/>
      </w:rPr>
    </w:lvl>
    <w:lvl w:ilvl="7" w:tplc="041D0003" w:tentative="1">
      <w:start w:val="1"/>
      <w:numFmt w:val="bullet"/>
      <w:lvlText w:val="o"/>
      <w:lvlJc w:val="left"/>
      <w:pPr>
        <w:tabs>
          <w:tab w:val="num" w:pos="5580"/>
        </w:tabs>
        <w:ind w:left="5580" w:hanging="360"/>
      </w:pPr>
      <w:rPr>
        <w:rFonts w:ascii="Courier New" w:hAnsi="Courier New" w:hint="default"/>
      </w:rPr>
    </w:lvl>
    <w:lvl w:ilvl="8" w:tplc="041D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BA15587"/>
    <w:multiLevelType w:val="hybridMultilevel"/>
    <w:tmpl w:val="C646FF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28546E"/>
    <w:multiLevelType w:val="hybridMultilevel"/>
    <w:tmpl w:val="17509630"/>
    <w:lvl w:ilvl="0" w:tplc="6552847C">
      <w:start w:val="1"/>
      <w:numFmt w:val="decimal"/>
      <w:lvlText w:val="%1."/>
      <w:lvlJc w:val="left"/>
      <w:pPr>
        <w:tabs>
          <w:tab w:val="num" w:pos="540"/>
        </w:tabs>
        <w:ind w:left="540" w:hanging="360"/>
      </w:pPr>
      <w:rPr>
        <w:rFonts w:cs="Times New Roman" w:hint="default"/>
      </w:rPr>
    </w:lvl>
    <w:lvl w:ilvl="1" w:tplc="041D0019" w:tentative="1">
      <w:start w:val="1"/>
      <w:numFmt w:val="lowerLetter"/>
      <w:lvlText w:val="%2."/>
      <w:lvlJc w:val="left"/>
      <w:pPr>
        <w:tabs>
          <w:tab w:val="num" w:pos="1260"/>
        </w:tabs>
        <w:ind w:left="1260" w:hanging="360"/>
      </w:pPr>
      <w:rPr>
        <w:rFonts w:cs="Times New Roman"/>
      </w:rPr>
    </w:lvl>
    <w:lvl w:ilvl="2" w:tplc="041D001B" w:tentative="1">
      <w:start w:val="1"/>
      <w:numFmt w:val="lowerRoman"/>
      <w:lvlText w:val="%3."/>
      <w:lvlJc w:val="right"/>
      <w:pPr>
        <w:tabs>
          <w:tab w:val="num" w:pos="1980"/>
        </w:tabs>
        <w:ind w:left="1980" w:hanging="180"/>
      </w:pPr>
      <w:rPr>
        <w:rFonts w:cs="Times New Roman"/>
      </w:rPr>
    </w:lvl>
    <w:lvl w:ilvl="3" w:tplc="041D000F" w:tentative="1">
      <w:start w:val="1"/>
      <w:numFmt w:val="decimal"/>
      <w:lvlText w:val="%4."/>
      <w:lvlJc w:val="left"/>
      <w:pPr>
        <w:tabs>
          <w:tab w:val="num" w:pos="2700"/>
        </w:tabs>
        <w:ind w:left="2700" w:hanging="360"/>
      </w:pPr>
      <w:rPr>
        <w:rFonts w:cs="Times New Roman"/>
      </w:rPr>
    </w:lvl>
    <w:lvl w:ilvl="4" w:tplc="041D0019" w:tentative="1">
      <w:start w:val="1"/>
      <w:numFmt w:val="lowerLetter"/>
      <w:lvlText w:val="%5."/>
      <w:lvlJc w:val="left"/>
      <w:pPr>
        <w:tabs>
          <w:tab w:val="num" w:pos="3420"/>
        </w:tabs>
        <w:ind w:left="3420" w:hanging="360"/>
      </w:pPr>
      <w:rPr>
        <w:rFonts w:cs="Times New Roman"/>
      </w:rPr>
    </w:lvl>
    <w:lvl w:ilvl="5" w:tplc="041D001B" w:tentative="1">
      <w:start w:val="1"/>
      <w:numFmt w:val="lowerRoman"/>
      <w:lvlText w:val="%6."/>
      <w:lvlJc w:val="right"/>
      <w:pPr>
        <w:tabs>
          <w:tab w:val="num" w:pos="4140"/>
        </w:tabs>
        <w:ind w:left="4140" w:hanging="180"/>
      </w:pPr>
      <w:rPr>
        <w:rFonts w:cs="Times New Roman"/>
      </w:rPr>
    </w:lvl>
    <w:lvl w:ilvl="6" w:tplc="041D000F" w:tentative="1">
      <w:start w:val="1"/>
      <w:numFmt w:val="decimal"/>
      <w:lvlText w:val="%7."/>
      <w:lvlJc w:val="left"/>
      <w:pPr>
        <w:tabs>
          <w:tab w:val="num" w:pos="4860"/>
        </w:tabs>
        <w:ind w:left="4860" w:hanging="360"/>
      </w:pPr>
      <w:rPr>
        <w:rFonts w:cs="Times New Roman"/>
      </w:rPr>
    </w:lvl>
    <w:lvl w:ilvl="7" w:tplc="041D0019" w:tentative="1">
      <w:start w:val="1"/>
      <w:numFmt w:val="lowerLetter"/>
      <w:lvlText w:val="%8."/>
      <w:lvlJc w:val="left"/>
      <w:pPr>
        <w:tabs>
          <w:tab w:val="num" w:pos="5580"/>
        </w:tabs>
        <w:ind w:left="5580" w:hanging="360"/>
      </w:pPr>
      <w:rPr>
        <w:rFonts w:cs="Times New Roman"/>
      </w:rPr>
    </w:lvl>
    <w:lvl w:ilvl="8" w:tplc="041D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34F01CF8"/>
    <w:multiLevelType w:val="hybridMultilevel"/>
    <w:tmpl w:val="1F9E560E"/>
    <w:lvl w:ilvl="0" w:tplc="B49EC1A6">
      <w:start w:val="1"/>
      <w:numFmt w:val="upperLetter"/>
      <w:pStyle w:val="Rubri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062CE9"/>
    <w:multiLevelType w:val="hybridMultilevel"/>
    <w:tmpl w:val="D0E6AA12"/>
    <w:lvl w:ilvl="0" w:tplc="277AE1B0">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5227A"/>
    <w:multiLevelType w:val="hybridMultilevel"/>
    <w:tmpl w:val="C3CE5A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TrackMoves/>
  <w:defaultTabStop w:val="720"/>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2B9"/>
    <w:rsid w:val="0000127B"/>
    <w:rsid w:val="00001A99"/>
    <w:rsid w:val="0007573A"/>
    <w:rsid w:val="000777F6"/>
    <w:rsid w:val="000B2794"/>
    <w:rsid w:val="000C25D4"/>
    <w:rsid w:val="000C263F"/>
    <w:rsid w:val="000C71B2"/>
    <w:rsid w:val="000D669F"/>
    <w:rsid w:val="000F207B"/>
    <w:rsid w:val="00105D29"/>
    <w:rsid w:val="00117668"/>
    <w:rsid w:val="00132651"/>
    <w:rsid w:val="00155846"/>
    <w:rsid w:val="001579FF"/>
    <w:rsid w:val="00160691"/>
    <w:rsid w:val="001615E4"/>
    <w:rsid w:val="00180B0E"/>
    <w:rsid w:val="001A4837"/>
    <w:rsid w:val="001A6BE1"/>
    <w:rsid w:val="001B011A"/>
    <w:rsid w:val="001C0156"/>
    <w:rsid w:val="001C46B4"/>
    <w:rsid w:val="001D1143"/>
    <w:rsid w:val="001D291B"/>
    <w:rsid w:val="001E11DB"/>
    <w:rsid w:val="001E3234"/>
    <w:rsid w:val="001F7B9C"/>
    <w:rsid w:val="0020234C"/>
    <w:rsid w:val="00211E5A"/>
    <w:rsid w:val="002362B3"/>
    <w:rsid w:val="0024012F"/>
    <w:rsid w:val="002421FF"/>
    <w:rsid w:val="00251C94"/>
    <w:rsid w:val="002532BD"/>
    <w:rsid w:val="00260B72"/>
    <w:rsid w:val="00272A95"/>
    <w:rsid w:val="00292B0A"/>
    <w:rsid w:val="002B6B8C"/>
    <w:rsid w:val="002C2ADA"/>
    <w:rsid w:val="002C4520"/>
    <w:rsid w:val="002F6641"/>
    <w:rsid w:val="00313B64"/>
    <w:rsid w:val="0031704E"/>
    <w:rsid w:val="00331D5F"/>
    <w:rsid w:val="0033545E"/>
    <w:rsid w:val="003374B9"/>
    <w:rsid w:val="003607F2"/>
    <w:rsid w:val="00362E52"/>
    <w:rsid w:val="00380D36"/>
    <w:rsid w:val="003919BE"/>
    <w:rsid w:val="0039514C"/>
    <w:rsid w:val="003B2694"/>
    <w:rsid w:val="003B6339"/>
    <w:rsid w:val="003B6CF5"/>
    <w:rsid w:val="003E4B4F"/>
    <w:rsid w:val="00406355"/>
    <w:rsid w:val="00407860"/>
    <w:rsid w:val="0042057B"/>
    <w:rsid w:val="00420DB4"/>
    <w:rsid w:val="00463BF3"/>
    <w:rsid w:val="0046657B"/>
    <w:rsid w:val="00467C48"/>
    <w:rsid w:val="0048326E"/>
    <w:rsid w:val="00494B67"/>
    <w:rsid w:val="004C1C7C"/>
    <w:rsid w:val="004C6C26"/>
    <w:rsid w:val="004C7CFB"/>
    <w:rsid w:val="004E16E8"/>
    <w:rsid w:val="004E21C9"/>
    <w:rsid w:val="004F352E"/>
    <w:rsid w:val="00536A51"/>
    <w:rsid w:val="00541F86"/>
    <w:rsid w:val="005550BA"/>
    <w:rsid w:val="00560896"/>
    <w:rsid w:val="00575907"/>
    <w:rsid w:val="005A4C79"/>
    <w:rsid w:val="005B43CA"/>
    <w:rsid w:val="005B44EA"/>
    <w:rsid w:val="005D1AC8"/>
    <w:rsid w:val="005E6631"/>
    <w:rsid w:val="005F39F4"/>
    <w:rsid w:val="00610B4F"/>
    <w:rsid w:val="006212FD"/>
    <w:rsid w:val="00632160"/>
    <w:rsid w:val="00674A84"/>
    <w:rsid w:val="006805A8"/>
    <w:rsid w:val="006A4C42"/>
    <w:rsid w:val="006C5C26"/>
    <w:rsid w:val="006D1D3F"/>
    <w:rsid w:val="006E3C3D"/>
    <w:rsid w:val="006E6352"/>
    <w:rsid w:val="00700972"/>
    <w:rsid w:val="00704DC3"/>
    <w:rsid w:val="00707C02"/>
    <w:rsid w:val="00711BC1"/>
    <w:rsid w:val="0074156D"/>
    <w:rsid w:val="00763FC1"/>
    <w:rsid w:val="007816E6"/>
    <w:rsid w:val="007A2C2F"/>
    <w:rsid w:val="007A429D"/>
    <w:rsid w:val="007B31F0"/>
    <w:rsid w:val="007E2590"/>
    <w:rsid w:val="008004BB"/>
    <w:rsid w:val="0080165A"/>
    <w:rsid w:val="00857859"/>
    <w:rsid w:val="008605A7"/>
    <w:rsid w:val="00876091"/>
    <w:rsid w:val="008829EC"/>
    <w:rsid w:val="008847ED"/>
    <w:rsid w:val="008A3E05"/>
    <w:rsid w:val="008A5E1C"/>
    <w:rsid w:val="008A5E8C"/>
    <w:rsid w:val="008D254E"/>
    <w:rsid w:val="008D3FF4"/>
    <w:rsid w:val="0090206A"/>
    <w:rsid w:val="00926CB3"/>
    <w:rsid w:val="009278D9"/>
    <w:rsid w:val="00940345"/>
    <w:rsid w:val="00961428"/>
    <w:rsid w:val="00962134"/>
    <w:rsid w:val="009665BE"/>
    <w:rsid w:val="009770D0"/>
    <w:rsid w:val="00986FC4"/>
    <w:rsid w:val="009A0802"/>
    <w:rsid w:val="009A6A3E"/>
    <w:rsid w:val="009D731D"/>
    <w:rsid w:val="009E5122"/>
    <w:rsid w:val="009F4356"/>
    <w:rsid w:val="009F66DA"/>
    <w:rsid w:val="00A30322"/>
    <w:rsid w:val="00A845D0"/>
    <w:rsid w:val="00AB3529"/>
    <w:rsid w:val="00AD66E0"/>
    <w:rsid w:val="00AF7E75"/>
    <w:rsid w:val="00B275F6"/>
    <w:rsid w:val="00B378CB"/>
    <w:rsid w:val="00B45A28"/>
    <w:rsid w:val="00B715F7"/>
    <w:rsid w:val="00B718D9"/>
    <w:rsid w:val="00B73C7E"/>
    <w:rsid w:val="00B73D58"/>
    <w:rsid w:val="00BD4A3E"/>
    <w:rsid w:val="00BE3B81"/>
    <w:rsid w:val="00BF56FF"/>
    <w:rsid w:val="00C04CB7"/>
    <w:rsid w:val="00C1454A"/>
    <w:rsid w:val="00C27B19"/>
    <w:rsid w:val="00C31E9D"/>
    <w:rsid w:val="00C57302"/>
    <w:rsid w:val="00C6249B"/>
    <w:rsid w:val="00C6261F"/>
    <w:rsid w:val="00C712B9"/>
    <w:rsid w:val="00C80C9F"/>
    <w:rsid w:val="00CD2C91"/>
    <w:rsid w:val="00CF13BC"/>
    <w:rsid w:val="00CF3CA1"/>
    <w:rsid w:val="00D002E4"/>
    <w:rsid w:val="00D1444B"/>
    <w:rsid w:val="00D177A4"/>
    <w:rsid w:val="00D70757"/>
    <w:rsid w:val="00D83190"/>
    <w:rsid w:val="00DC5C87"/>
    <w:rsid w:val="00DC6480"/>
    <w:rsid w:val="00DE4625"/>
    <w:rsid w:val="00DE5128"/>
    <w:rsid w:val="00DF7F09"/>
    <w:rsid w:val="00E00F0D"/>
    <w:rsid w:val="00E01CCA"/>
    <w:rsid w:val="00E03AE5"/>
    <w:rsid w:val="00E0780C"/>
    <w:rsid w:val="00E20001"/>
    <w:rsid w:val="00E201CB"/>
    <w:rsid w:val="00E22C67"/>
    <w:rsid w:val="00E44C80"/>
    <w:rsid w:val="00E60092"/>
    <w:rsid w:val="00E867BE"/>
    <w:rsid w:val="00E87B13"/>
    <w:rsid w:val="00EB575F"/>
    <w:rsid w:val="00ED07E1"/>
    <w:rsid w:val="00ED38E8"/>
    <w:rsid w:val="00EE50B5"/>
    <w:rsid w:val="00EF6F38"/>
    <w:rsid w:val="00F010D2"/>
    <w:rsid w:val="00F1250A"/>
    <w:rsid w:val="00F61699"/>
    <w:rsid w:val="00F66CF9"/>
    <w:rsid w:val="00F675D2"/>
    <w:rsid w:val="00F71865"/>
    <w:rsid w:val="00F71E32"/>
    <w:rsid w:val="00F750EA"/>
    <w:rsid w:val="00F83388"/>
    <w:rsid w:val="00F91BFA"/>
    <w:rsid w:val="00FC1045"/>
    <w:rsid w:val="00FC5F40"/>
    <w:rsid w:val="00FE5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8AF23-269C-4A37-8C0F-E8309E4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zh-CN"/>
    </w:rPr>
  </w:style>
  <w:style w:type="paragraph" w:styleId="Rubrik1">
    <w:name w:val="heading 1"/>
    <w:basedOn w:val="Normal"/>
    <w:next w:val="Normal"/>
    <w:qFormat/>
    <w:pPr>
      <w:keepNext/>
      <w:numPr>
        <w:numId w:val="1"/>
      </w:numPr>
      <w:jc w:val="both"/>
      <w:outlineLvl w:val="0"/>
    </w:pPr>
    <w:rPr>
      <w:b/>
      <w:bCs/>
      <w:lang w:val="sv-SE"/>
    </w:rPr>
  </w:style>
  <w:style w:type="paragraph" w:styleId="Rubrik2">
    <w:name w:val="heading 2"/>
    <w:basedOn w:val="Normal"/>
    <w:next w:val="Normal"/>
    <w:qFormat/>
    <w:pPr>
      <w:keepNext/>
      <w:spacing w:line="360" w:lineRule="auto"/>
      <w:jc w:val="both"/>
      <w:outlineLvl w:val="1"/>
    </w:pPr>
    <w:rPr>
      <w:b/>
      <w:bCs/>
      <w:sz w:val="28"/>
      <w:lang w:val="sv-SE"/>
    </w:rPr>
  </w:style>
  <w:style w:type="paragraph" w:styleId="Rubrik3">
    <w:name w:val="heading 3"/>
    <w:basedOn w:val="Normal"/>
    <w:next w:val="Normal"/>
    <w:qFormat/>
    <w:pPr>
      <w:keepNext/>
      <w:spacing w:line="360" w:lineRule="auto"/>
      <w:jc w:val="both"/>
      <w:outlineLvl w:val="2"/>
    </w:pPr>
    <w:rPr>
      <w:b/>
      <w:bCs/>
      <w:lang w:val="sv-SE"/>
    </w:rPr>
  </w:style>
  <w:style w:type="paragraph" w:styleId="Rubrik4">
    <w:name w:val="heading 4"/>
    <w:basedOn w:val="Normal"/>
    <w:next w:val="Normal"/>
    <w:link w:val="Rubrik4Char"/>
    <w:qFormat/>
    <w:pPr>
      <w:keepNext/>
      <w:spacing w:line="360" w:lineRule="auto"/>
      <w:jc w:val="both"/>
      <w:outlineLvl w:val="3"/>
    </w:pPr>
    <w:rPr>
      <w:b/>
      <w:bCs/>
      <w:sz w:val="32"/>
      <w:lang w:val="sv-SE"/>
    </w:rPr>
  </w:style>
  <w:style w:type="paragraph" w:styleId="Rubrik5">
    <w:name w:val="heading 5"/>
    <w:basedOn w:val="Normal"/>
    <w:next w:val="Normal"/>
    <w:qFormat/>
    <w:pPr>
      <w:keepNext/>
      <w:spacing w:line="360" w:lineRule="auto"/>
      <w:jc w:val="both"/>
      <w:outlineLvl w:val="4"/>
    </w:pPr>
    <w:rPr>
      <w:b/>
      <w:bCs/>
      <w:sz w:val="3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hAnsi="Cambria" w:cs="Times New Roman"/>
      <w:b/>
      <w:bCs/>
      <w:kern w:val="32"/>
      <w:sz w:val="32"/>
      <w:szCs w:val="32"/>
      <w:lang w:val="en-US" w:eastAsia="zh-CN"/>
    </w:rPr>
  </w:style>
  <w:style w:type="character" w:customStyle="1" w:styleId="Heading2Char">
    <w:name w:val="Heading 2 Char"/>
    <w:semiHidden/>
    <w:rPr>
      <w:rFonts w:ascii="Cambria" w:hAnsi="Cambria" w:cs="Times New Roman"/>
      <w:b/>
      <w:bCs/>
      <w:i/>
      <w:iCs/>
      <w:sz w:val="28"/>
      <w:szCs w:val="28"/>
      <w:lang w:val="en-US" w:eastAsia="zh-CN"/>
    </w:rPr>
  </w:style>
  <w:style w:type="character" w:customStyle="1" w:styleId="Heading3Char">
    <w:name w:val="Heading 3 Char"/>
    <w:semiHidden/>
    <w:rPr>
      <w:rFonts w:ascii="Cambria" w:hAnsi="Cambria" w:cs="Times New Roman"/>
      <w:b/>
      <w:bCs/>
      <w:sz w:val="26"/>
      <w:szCs w:val="26"/>
      <w:lang w:val="en-US" w:eastAsia="zh-CN"/>
    </w:rPr>
  </w:style>
  <w:style w:type="character" w:customStyle="1" w:styleId="Heading4Char">
    <w:name w:val="Heading 4 Char"/>
    <w:semiHidden/>
    <w:rPr>
      <w:rFonts w:ascii="Calibri" w:hAnsi="Calibri" w:cs="Times New Roman"/>
      <w:b/>
      <w:bCs/>
      <w:sz w:val="28"/>
      <w:szCs w:val="28"/>
      <w:lang w:val="en-US" w:eastAsia="zh-CN"/>
    </w:rPr>
  </w:style>
  <w:style w:type="character" w:customStyle="1" w:styleId="Heading5Char">
    <w:name w:val="Heading 5 Char"/>
    <w:semiHidden/>
    <w:rPr>
      <w:rFonts w:ascii="Calibri" w:hAnsi="Calibri" w:cs="Times New Roman"/>
      <w:b/>
      <w:bCs/>
      <w:i/>
      <w:iCs/>
      <w:sz w:val="26"/>
      <w:szCs w:val="26"/>
      <w:lang w:val="en-US" w:eastAsia="zh-CN"/>
    </w:rPr>
  </w:style>
  <w:style w:type="paragraph" w:styleId="Fotnotstext">
    <w:name w:val="footnote text"/>
    <w:basedOn w:val="Normal"/>
    <w:semiHidden/>
    <w:rPr>
      <w:sz w:val="20"/>
      <w:szCs w:val="20"/>
    </w:rPr>
  </w:style>
  <w:style w:type="character" w:customStyle="1" w:styleId="FootnoteTextChar">
    <w:name w:val="Footnote Text Char"/>
    <w:semiHidden/>
    <w:rPr>
      <w:rFonts w:cs="Times New Roman"/>
      <w:lang w:val="en-US" w:eastAsia="zh-CN"/>
    </w:rPr>
  </w:style>
  <w:style w:type="character" w:styleId="Fotnotsreferens">
    <w:name w:val="footnote reference"/>
    <w:semiHidden/>
    <w:rPr>
      <w:rFonts w:cs="Times New Roman"/>
      <w:vertAlign w:val="superscript"/>
    </w:rPr>
  </w:style>
  <w:style w:type="paragraph" w:styleId="Brdtext">
    <w:name w:val="Body Text"/>
    <w:basedOn w:val="Normal"/>
    <w:semiHidden/>
    <w:pPr>
      <w:spacing w:line="360" w:lineRule="auto"/>
      <w:jc w:val="both"/>
    </w:pPr>
    <w:rPr>
      <w:lang w:val="sv-SE"/>
    </w:rPr>
  </w:style>
  <w:style w:type="character" w:customStyle="1" w:styleId="BodyTextChar">
    <w:name w:val="Body Text Char"/>
    <w:semiHidden/>
    <w:rPr>
      <w:rFonts w:cs="Times New Roman"/>
      <w:sz w:val="24"/>
      <w:szCs w:val="24"/>
      <w:lang w:val="en-US" w:eastAsia="zh-CN"/>
    </w:rPr>
  </w:style>
  <w:style w:type="paragraph" w:styleId="Brdtext3">
    <w:name w:val="Body Text 3"/>
    <w:basedOn w:val="Normal"/>
    <w:semiHidden/>
    <w:pPr>
      <w:spacing w:line="360" w:lineRule="auto"/>
      <w:jc w:val="both"/>
    </w:pPr>
    <w:rPr>
      <w:b/>
      <w:sz w:val="28"/>
      <w:lang w:val="sv-SE"/>
    </w:rPr>
  </w:style>
  <w:style w:type="character" w:customStyle="1" w:styleId="BodyText3Char">
    <w:name w:val="Body Text 3 Char"/>
    <w:semiHidden/>
    <w:rPr>
      <w:rFonts w:cs="Times New Roman"/>
      <w:sz w:val="16"/>
      <w:szCs w:val="16"/>
      <w:lang w:val="en-US" w:eastAsia="zh-CN"/>
    </w:rPr>
  </w:style>
  <w:style w:type="paragraph" w:styleId="Sidhuvud">
    <w:name w:val="header"/>
    <w:basedOn w:val="Normal"/>
    <w:semiHidden/>
    <w:unhideWhenUsed/>
    <w:pPr>
      <w:tabs>
        <w:tab w:val="center" w:pos="4680"/>
        <w:tab w:val="right" w:pos="9360"/>
      </w:tabs>
    </w:pPr>
  </w:style>
  <w:style w:type="character" w:customStyle="1" w:styleId="HeaderChar">
    <w:name w:val="Header Char"/>
    <w:semiHidden/>
    <w:rPr>
      <w:rFonts w:cs="Times New Roman"/>
      <w:sz w:val="24"/>
      <w:szCs w:val="24"/>
      <w:lang w:val="en-US" w:eastAsia="zh-CN"/>
    </w:rPr>
  </w:style>
  <w:style w:type="character" w:customStyle="1" w:styleId="SidhuvudChar">
    <w:name w:val="Sidhuvud Char"/>
    <w:rPr>
      <w:rFonts w:cs="Times New Roman"/>
      <w:sz w:val="24"/>
      <w:szCs w:val="24"/>
      <w:lang w:val="x-none" w:eastAsia="zh-CN"/>
    </w:rPr>
  </w:style>
  <w:style w:type="paragraph" w:styleId="Sidfot">
    <w:name w:val="footer"/>
    <w:basedOn w:val="Normal"/>
    <w:semiHidden/>
    <w:unhideWhenUsed/>
    <w:pPr>
      <w:tabs>
        <w:tab w:val="center" w:pos="4680"/>
        <w:tab w:val="right" w:pos="9360"/>
      </w:tabs>
    </w:pPr>
  </w:style>
  <w:style w:type="character" w:customStyle="1" w:styleId="FooterChar">
    <w:name w:val="Footer Char"/>
    <w:semiHidden/>
    <w:rPr>
      <w:rFonts w:cs="Times New Roman"/>
      <w:sz w:val="24"/>
      <w:szCs w:val="24"/>
      <w:lang w:val="en-US" w:eastAsia="zh-CN"/>
    </w:rPr>
  </w:style>
  <w:style w:type="character" w:customStyle="1" w:styleId="SidfotChar">
    <w:name w:val="Sidfot Char"/>
    <w:semiHidden/>
    <w:rPr>
      <w:rFonts w:cs="Times New Roman"/>
      <w:sz w:val="24"/>
      <w:szCs w:val="24"/>
      <w:lang w:val="x-none" w:eastAsia="zh-CN"/>
    </w:rPr>
  </w:style>
  <w:style w:type="paragraph" w:styleId="Brdtext2">
    <w:name w:val="Body Text 2"/>
    <w:basedOn w:val="Normal"/>
    <w:semiHidden/>
    <w:pPr>
      <w:spacing w:line="360" w:lineRule="auto"/>
      <w:jc w:val="both"/>
    </w:pPr>
    <w:rPr>
      <w:b/>
      <w:bCs/>
      <w:i/>
      <w:iCs/>
      <w:lang w:val="sv-SE"/>
    </w:rPr>
  </w:style>
  <w:style w:type="character" w:customStyle="1" w:styleId="BodyText2Char">
    <w:name w:val="Body Text 2 Char"/>
    <w:semiHidden/>
    <w:rPr>
      <w:rFonts w:cs="Times New Roman"/>
      <w:sz w:val="24"/>
      <w:szCs w:val="24"/>
      <w:lang w:val="en-US" w:eastAsia="zh-CN"/>
    </w:rPr>
  </w:style>
  <w:style w:type="character" w:styleId="Sidnummer">
    <w:name w:val="page number"/>
    <w:semiHidden/>
    <w:rPr>
      <w:rFonts w:cs="Times New Roman"/>
    </w:rPr>
  </w:style>
  <w:style w:type="character" w:styleId="Hyperlnk">
    <w:name w:val="Hyperlink"/>
    <w:semiHidden/>
    <w:rPr>
      <w:color w:val="0000FF"/>
      <w:u w:val="single"/>
    </w:rPr>
  </w:style>
  <w:style w:type="character" w:styleId="Stark">
    <w:name w:val="Strong"/>
    <w:qFormat/>
    <w:rPr>
      <w:rFonts w:cs="Times New Roman"/>
      <w:b/>
      <w:bCs/>
    </w:rPr>
  </w:style>
  <w:style w:type="character" w:customStyle="1" w:styleId="Rubrik4Char">
    <w:name w:val="Rubrik 4 Char"/>
    <w:link w:val="Rubrik4"/>
    <w:rsid w:val="00711BC1"/>
    <w:rPr>
      <w:b/>
      <w:bCs/>
      <w:sz w:val="32"/>
      <w:szCs w:val="24"/>
      <w:lang w:eastAsia="zh-CN"/>
    </w:rPr>
  </w:style>
  <w:style w:type="paragraph" w:styleId="Ballongtext">
    <w:name w:val="Balloon Text"/>
    <w:basedOn w:val="Normal"/>
    <w:link w:val="BallongtextChar"/>
    <w:uiPriority w:val="99"/>
    <w:semiHidden/>
    <w:unhideWhenUsed/>
    <w:rsid w:val="0039514C"/>
    <w:rPr>
      <w:rFonts w:ascii="Segoe UI" w:hAnsi="Segoe UI" w:cs="Segoe UI"/>
      <w:sz w:val="18"/>
      <w:szCs w:val="18"/>
    </w:rPr>
  </w:style>
  <w:style w:type="character" w:customStyle="1" w:styleId="BallongtextChar">
    <w:name w:val="Ballongtext Char"/>
    <w:link w:val="Ballongtext"/>
    <w:uiPriority w:val="99"/>
    <w:semiHidden/>
    <w:rsid w:val="0039514C"/>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A93B-5DA9-43DA-9DBC-460CF04F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2982</Words>
  <Characters>15805</Characters>
  <Application>Microsoft Office Word</Application>
  <DocSecurity>0</DocSecurity>
  <Lines>131</Lines>
  <Paragraphs>37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Trust</vt:lpstr>
      <vt:lpstr>Trust</vt:lpstr>
      <vt:lpstr>Utkast till bok om patriarkalism</vt:lpstr>
    </vt:vector>
  </TitlesOfParts>
  <Company>CIRJE, Faculty of Economics, University of Tokyo</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dc:title>
  <dc:subject/>
  <dc:creator>Björn Horgby</dc:creator>
  <cp:keywords/>
  <dc:description/>
  <cp:lastModifiedBy>Björn Horgby</cp:lastModifiedBy>
  <cp:revision>4</cp:revision>
  <cp:lastPrinted>2016-10-03T10:49:00Z</cp:lastPrinted>
  <dcterms:created xsi:type="dcterms:W3CDTF">2016-11-06T08:04:00Z</dcterms:created>
  <dcterms:modified xsi:type="dcterms:W3CDTF">2018-02-13T14:48:00Z</dcterms:modified>
</cp:coreProperties>
</file>