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04D4F" w14:textId="77777777" w:rsidR="004850E7" w:rsidRDefault="004850E7">
      <w:pPr>
        <w:suppressAutoHyphens/>
        <w:spacing w:line="360" w:lineRule="auto"/>
        <w:jc w:val="both"/>
        <w:rPr>
          <w:rFonts w:ascii="Times New Roman" w:hAnsi="Times New Roman"/>
          <w:bCs/>
          <w:spacing w:val="-3"/>
          <w:sz w:val="36"/>
          <w:szCs w:val="36"/>
        </w:rPr>
      </w:pPr>
      <w:r>
        <w:rPr>
          <w:rFonts w:ascii="Times New Roman" w:hAnsi="Times New Roman"/>
          <w:b/>
          <w:bCs/>
          <w:spacing w:val="-3"/>
          <w:sz w:val="36"/>
          <w:szCs w:val="36"/>
        </w:rPr>
        <w:t>Välfärdsstaten och den svenska förhandlings- och konfliktlösningskulturen - en teoretisk diskussion</w:t>
      </w:r>
    </w:p>
    <w:p w14:paraId="7EE29FF2" w14:textId="77777777" w:rsidR="004850E7" w:rsidRDefault="004850E7">
      <w:pPr>
        <w:suppressAutoHyphens/>
        <w:spacing w:line="360" w:lineRule="auto"/>
        <w:jc w:val="both"/>
        <w:rPr>
          <w:rFonts w:ascii="Times New Roman" w:hAnsi="Times New Roman"/>
          <w:bCs/>
          <w:spacing w:val="-3"/>
        </w:rPr>
      </w:pPr>
    </w:p>
    <w:p w14:paraId="571EF55B" w14:textId="1D2E4608"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Det har mer eller mindre betraktats som ett faktum att den svenska välfärdsstaten under 1950- och 1960-talen i stor utsträckning präglades av en konsensuskultur, där arbetsmarknadens parter kom överens om lönenivåer och arbetsvillkor, och att denna konsensuskultur bröt</w:t>
      </w:r>
      <w:r w:rsidR="00461043">
        <w:rPr>
          <w:rFonts w:ascii="Times New Roman" w:hAnsi="Times New Roman"/>
          <w:bCs/>
          <w:spacing w:val="-3"/>
        </w:rPr>
        <w:t xml:space="preserve"> </w:t>
      </w:r>
      <w:r>
        <w:rPr>
          <w:rFonts w:ascii="Times New Roman" w:hAnsi="Times New Roman"/>
          <w:bCs/>
          <w:spacing w:val="-3"/>
        </w:rPr>
        <w:t>s</w:t>
      </w:r>
      <w:r w:rsidR="00461043">
        <w:rPr>
          <w:rFonts w:ascii="Times New Roman" w:hAnsi="Times New Roman"/>
          <w:bCs/>
          <w:spacing w:val="-3"/>
        </w:rPr>
        <w:t>amman</w:t>
      </w:r>
      <w:r>
        <w:rPr>
          <w:rFonts w:ascii="Times New Roman" w:hAnsi="Times New Roman"/>
          <w:bCs/>
          <w:spacing w:val="-3"/>
        </w:rPr>
        <w:t xml:space="preserve"> i samband med fram</w:t>
      </w:r>
      <w:r w:rsidR="006B64CF">
        <w:rPr>
          <w:rFonts w:ascii="Times New Roman" w:hAnsi="Times New Roman"/>
          <w:bCs/>
          <w:spacing w:val="-3"/>
        </w:rPr>
        <w:t xml:space="preserve">för allt LKAB-strejken </w:t>
      </w:r>
      <w:proofErr w:type="gramStart"/>
      <w:r w:rsidR="006B64CF">
        <w:rPr>
          <w:rFonts w:ascii="Times New Roman" w:hAnsi="Times New Roman"/>
          <w:bCs/>
          <w:spacing w:val="-3"/>
        </w:rPr>
        <w:t>1969-70</w:t>
      </w:r>
      <w:proofErr w:type="gramEnd"/>
      <w:r w:rsidR="006B64CF">
        <w:rPr>
          <w:rFonts w:ascii="Times New Roman" w:hAnsi="Times New Roman"/>
          <w:bCs/>
          <w:spacing w:val="-3"/>
        </w:rPr>
        <w:t>. Årtiondet därefter</w:t>
      </w:r>
      <w:r>
        <w:rPr>
          <w:rFonts w:ascii="Times New Roman" w:hAnsi="Times New Roman"/>
          <w:bCs/>
          <w:spacing w:val="-3"/>
        </w:rPr>
        <w:t xml:space="preserve"> präglades av vilda strejker och öppna klassmotsättningar. Klassamarbetet och konsensuskulturen </w:t>
      </w:r>
      <w:r w:rsidR="006B64CF">
        <w:rPr>
          <w:rFonts w:ascii="Times New Roman" w:hAnsi="Times New Roman"/>
          <w:bCs/>
          <w:spacing w:val="-3"/>
        </w:rPr>
        <w:t xml:space="preserve">har </w:t>
      </w:r>
      <w:r>
        <w:rPr>
          <w:rFonts w:ascii="Times New Roman" w:hAnsi="Times New Roman"/>
          <w:bCs/>
          <w:spacing w:val="-3"/>
        </w:rPr>
        <w:t xml:space="preserve">i sin tur </w:t>
      </w:r>
      <w:r w:rsidR="006B64CF">
        <w:rPr>
          <w:rFonts w:ascii="Times New Roman" w:hAnsi="Times New Roman"/>
          <w:bCs/>
          <w:spacing w:val="-3"/>
        </w:rPr>
        <w:t xml:space="preserve">ansetts ligga </w:t>
      </w:r>
      <w:r>
        <w:rPr>
          <w:rFonts w:ascii="Times New Roman" w:hAnsi="Times New Roman"/>
          <w:bCs/>
          <w:spacing w:val="-3"/>
        </w:rPr>
        <w:t>till grund för den svenska vägen till välfärdsstat, då Sverige förändrades från att vara ett fattigt land till norra Europa till ett bli en ledande välfärdsstat.</w:t>
      </w:r>
    </w:p>
    <w:p w14:paraId="59B79A5E"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Stora delar av denna berättelse är väl belagd – som att </w:t>
      </w:r>
      <w:proofErr w:type="gramStart"/>
      <w:r>
        <w:rPr>
          <w:rFonts w:ascii="Times New Roman" w:hAnsi="Times New Roman"/>
          <w:bCs/>
          <w:spacing w:val="-3"/>
        </w:rPr>
        <w:t>socialdemokraterna</w:t>
      </w:r>
      <w:proofErr w:type="gramEnd"/>
      <w:r>
        <w:rPr>
          <w:rFonts w:ascii="Times New Roman" w:hAnsi="Times New Roman"/>
          <w:bCs/>
          <w:spacing w:val="-3"/>
        </w:rPr>
        <w:t xml:space="preserve"> spelade stor roll för välfärdsbygget; att arbetsmarknadens parter, främst Landsorganisationen (LO) och Svenska Arbetsgivareföreningen (SAF), institutionaliserade sitt samarbete; och att detta samarbete spelade en central roll för välfärdsutvecklingen.</w:t>
      </w:r>
      <w:r>
        <w:rPr>
          <w:rStyle w:val="Fotnotsreferens"/>
          <w:rFonts w:ascii="Times New Roman" w:hAnsi="Times New Roman"/>
          <w:bCs/>
          <w:spacing w:val="-3"/>
        </w:rPr>
        <w:footnoteReference w:id="1"/>
      </w:r>
      <w:r>
        <w:rPr>
          <w:rFonts w:ascii="Times New Roman" w:hAnsi="Times New Roman"/>
          <w:bCs/>
          <w:spacing w:val="-3"/>
        </w:rPr>
        <w:t xml:space="preserve"> Vad som däremot kan ifrågasättas är om samarbetet byggde på en konsensuskultur och var detsamma som klassamarbete, som övergick till klasskamp under 1970-talet.</w:t>
      </w:r>
    </w:p>
    <w:p w14:paraId="73AA0114" w14:textId="77777777" w:rsidR="004850E7" w:rsidRDefault="004850E7">
      <w:pPr>
        <w:suppressAutoHyphens/>
        <w:spacing w:line="360" w:lineRule="auto"/>
        <w:jc w:val="both"/>
        <w:rPr>
          <w:rFonts w:ascii="Times New Roman" w:hAnsi="Times New Roman"/>
          <w:bCs/>
          <w:spacing w:val="-3"/>
        </w:rPr>
      </w:pPr>
    </w:p>
    <w:p w14:paraId="5BF862E9" w14:textId="77777777" w:rsidR="004850E7" w:rsidRDefault="004850E7">
      <w:pPr>
        <w:pStyle w:val="Rubrik1"/>
      </w:pPr>
      <w:r>
        <w:t>Problemet</w:t>
      </w:r>
    </w:p>
    <w:p w14:paraId="62F76E37" w14:textId="75F5752C" w:rsidR="004850E7" w:rsidRDefault="00461043">
      <w:pPr>
        <w:suppressAutoHyphens/>
        <w:spacing w:line="360" w:lineRule="auto"/>
        <w:jc w:val="both"/>
        <w:rPr>
          <w:rFonts w:ascii="Times New Roman" w:hAnsi="Times New Roman"/>
          <w:bCs/>
          <w:spacing w:val="-3"/>
        </w:rPr>
      </w:pPr>
      <w:r>
        <w:rPr>
          <w:rFonts w:ascii="Times New Roman" w:hAnsi="Times New Roman"/>
          <w:bCs/>
          <w:spacing w:val="-3"/>
        </w:rPr>
        <w:t>Här</w:t>
      </w:r>
      <w:r w:rsidR="004850E7">
        <w:rPr>
          <w:rFonts w:ascii="Times New Roman" w:hAnsi="Times New Roman"/>
          <w:bCs/>
          <w:spacing w:val="-3"/>
        </w:rPr>
        <w:t xml:space="preserve"> kommer jag teoretiskt argumentera för att samarbetet mellan arbetsmarknadens parter inte behöver vara ett resultat av konsensus och klassamarbete, utan lika gärna kan vara en följd av utvecklingen av en förhandlingskultur, som gjorde det möjligt att göra kompromissöverenskommelser, trots att parterna hade olika intressen och befann sig i konflikt </w:t>
      </w:r>
      <w:r w:rsidR="004850E7">
        <w:rPr>
          <w:rFonts w:ascii="Times New Roman" w:hAnsi="Times New Roman"/>
          <w:bCs/>
          <w:spacing w:val="-3"/>
        </w:rPr>
        <w:lastRenderedPageBreak/>
        <w:t>med varandra. Jag ska alltså teoretiskt diskutera förhandling som en konfliktlösningsmodell.</w:t>
      </w:r>
    </w:p>
    <w:p w14:paraId="494C318F"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Innan jag går vidare vill jag påpeka att detta med att lösa konflikter med hjälp av förhandlingslösningar inte är någon nyhet i den svenska politiska kulturen. Detta har bland annat visats av historikerna Eva Österberg och Peter Aronsson, som menar att det tidigmoderna samhället präglades av en förhandlingskultur, som uppstod i det civila samhällets möten med statsmakten. De hävdar också att bondebefolkningens lokala självstyrelseorgan under denna tid, sockenstämman, präglades av förhandlingar. Utifrån detta drar Eva Österberg slutsatsen att den tidigmoderna förhandlingskulturen låg till grund för den moderna svenska politiska kulturen. Hon pekar särskilt på kontinuiteten i de politiska institutioner, det vill säga framför allt rättssystemet och de lokala självstyrelseorganen, och i de ”</w:t>
      </w:r>
      <w:r>
        <w:rPr>
          <w:rFonts w:ascii="Times New Roman" w:hAnsi="Times New Roman"/>
          <w:bCs/>
          <w:i/>
          <w:spacing w:val="-3"/>
        </w:rPr>
        <w:t xml:space="preserve">ideologiska </w:t>
      </w:r>
      <w:r>
        <w:rPr>
          <w:rFonts w:ascii="Times New Roman" w:hAnsi="Times New Roman"/>
          <w:bCs/>
          <w:i/>
          <w:spacing w:val="-3"/>
          <w:u w:val="single"/>
        </w:rPr>
        <w:t>former</w:t>
      </w:r>
      <w:r>
        <w:rPr>
          <w:rFonts w:ascii="Times New Roman" w:hAnsi="Times New Roman"/>
          <w:bCs/>
          <w:i/>
          <w:spacing w:val="-3"/>
        </w:rPr>
        <w:t xml:space="preserve"> som mötet mellan statsmakt och allmogen tog sig</w:t>
      </w:r>
      <w:r>
        <w:rPr>
          <w:rFonts w:ascii="Times New Roman" w:hAnsi="Times New Roman"/>
          <w:bCs/>
          <w:spacing w:val="-3"/>
        </w:rPr>
        <w:t>”. Österberg ser dock förhandlingskulturen som ett sätt att skapa samhällelig konsensus.</w:t>
      </w:r>
      <w:r>
        <w:rPr>
          <w:rStyle w:val="Fotnotsreferens"/>
          <w:rFonts w:ascii="Times New Roman" w:hAnsi="Times New Roman"/>
          <w:bCs/>
          <w:spacing w:val="-3"/>
        </w:rPr>
        <w:footnoteReference w:id="2"/>
      </w:r>
      <w:r>
        <w:rPr>
          <w:rFonts w:ascii="Times New Roman" w:hAnsi="Times New Roman"/>
          <w:bCs/>
          <w:spacing w:val="-3"/>
        </w:rPr>
        <w:t xml:space="preserve"> Betoningen av konsensusskapandet har även lyfts fram av andra forskare, som något typiskt svenskt.</w:t>
      </w:r>
      <w:r>
        <w:rPr>
          <w:rStyle w:val="Fotnotsreferens"/>
          <w:rFonts w:ascii="Times New Roman" w:hAnsi="Times New Roman"/>
          <w:bCs/>
          <w:spacing w:val="-3"/>
        </w:rPr>
        <w:footnoteReference w:id="3"/>
      </w:r>
      <w:r>
        <w:rPr>
          <w:rFonts w:ascii="Times New Roman" w:hAnsi="Times New Roman"/>
          <w:bCs/>
          <w:spacing w:val="-3"/>
        </w:rPr>
        <w:t xml:space="preserve"> </w:t>
      </w:r>
    </w:p>
    <w:p w14:paraId="0B162547" w14:textId="1C4E2DCF"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w:t>
      </w:r>
      <w:r w:rsidR="00461043">
        <w:rPr>
          <w:rFonts w:ascii="Times New Roman" w:hAnsi="Times New Roman"/>
          <w:bCs/>
          <w:spacing w:val="-3"/>
        </w:rPr>
        <w:t xml:space="preserve">Här tar jag </w:t>
      </w:r>
      <w:r>
        <w:rPr>
          <w:rFonts w:ascii="Times New Roman" w:hAnsi="Times New Roman"/>
          <w:bCs/>
          <w:spacing w:val="-3"/>
        </w:rPr>
        <w:t xml:space="preserve">spjärn mot konsensusperspektivet och utgår i stället från ett konfliktperspektiv. I problematiseringen av förhandlingsbegreppet </w:t>
      </w:r>
      <w:r w:rsidR="00461043">
        <w:rPr>
          <w:rFonts w:ascii="Times New Roman" w:hAnsi="Times New Roman"/>
          <w:bCs/>
          <w:spacing w:val="-3"/>
        </w:rPr>
        <w:t xml:space="preserve">inspireras jag </w:t>
      </w:r>
      <w:r>
        <w:rPr>
          <w:rFonts w:ascii="Times New Roman" w:hAnsi="Times New Roman"/>
          <w:bCs/>
          <w:spacing w:val="-3"/>
        </w:rPr>
        <w:t>teoretiskt av spelteori – en teoribildning, som i stor utsträckning är förknippad med ett vetenskapligt konsensusperspektiv. Inom denna teoribildning diskuteras förhandlingar och förhandlingstaktik. Men, som jag återkommer till är det teoretiskt möjligt att förena spelteori med ett konfliktperspektiv.</w:t>
      </w:r>
    </w:p>
    <w:p w14:paraId="6BA0BE9A" w14:textId="77777777" w:rsidR="004850E7" w:rsidRDefault="004850E7">
      <w:pPr>
        <w:suppressAutoHyphens/>
        <w:spacing w:line="360" w:lineRule="auto"/>
        <w:jc w:val="both"/>
        <w:rPr>
          <w:rFonts w:ascii="Times New Roman" w:hAnsi="Times New Roman"/>
          <w:bCs/>
          <w:spacing w:val="-3"/>
        </w:rPr>
      </w:pPr>
    </w:p>
    <w:p w14:paraId="10BD016D" w14:textId="77777777" w:rsidR="004850E7" w:rsidRDefault="004850E7">
      <w:pPr>
        <w:pStyle w:val="Rubrik1"/>
        <w:rPr>
          <w:bCs/>
        </w:rPr>
      </w:pPr>
      <w:r>
        <w:t>Begreppet förhandling</w:t>
      </w:r>
    </w:p>
    <w:p w14:paraId="3DEC603B" w14:textId="2CD2C5D4"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Förhandlingar kan ses som ett sätt att lösa konflikter mellan parter som har olika och motstridiga intressen. Trots att syftet kan vara att skapa kompromisser, behöver förhandlingsbegreppet inte ses som ett konsensusbegrepp. Det beror på att det finns olika sätt att komma överens på. </w:t>
      </w:r>
      <w:r>
        <w:rPr>
          <w:rFonts w:ascii="Times New Roman" w:hAnsi="Times New Roman"/>
          <w:bCs/>
          <w:i/>
          <w:iCs/>
          <w:spacing w:val="-3"/>
        </w:rPr>
        <w:t>Konsensusöverenskommelser</w:t>
      </w:r>
      <w:r>
        <w:rPr>
          <w:rFonts w:ascii="Times New Roman" w:hAnsi="Times New Roman"/>
          <w:bCs/>
          <w:spacing w:val="-3"/>
        </w:rPr>
        <w:t xml:space="preserve"> förutsätter att intressemotsättningen och intressekampen upphör, när parterna träffar en överenskommelse som båda parter på kort och lång sikt är tillfreds med. Mot det kan man hävda att intressemotsättningar kan ligga till grund för </w:t>
      </w:r>
      <w:r>
        <w:rPr>
          <w:rFonts w:ascii="Times New Roman" w:hAnsi="Times New Roman"/>
          <w:bCs/>
          <w:i/>
          <w:iCs/>
          <w:spacing w:val="-3"/>
        </w:rPr>
        <w:t>konfliktbaserade överenskommelser</w:t>
      </w:r>
      <w:r>
        <w:rPr>
          <w:rFonts w:ascii="Times New Roman" w:hAnsi="Times New Roman"/>
          <w:bCs/>
          <w:spacing w:val="-3"/>
        </w:rPr>
        <w:t xml:space="preserve">. Den senare typen av överenskommelse kan för det första uppnås när parterna i en bestämd historisk kontext anser sig ha sammanfallande intressen; för det andra slutas när parterna väljer att komma överens, eftersom detta är att föredra framför en konfliktfylld relation, som präglas av osäkerhet. I båda fallen agerar parterna rationellt. I det första fallet kan det vara rationellt att samarbeta för att uppnå ett gemensamt mål, men om detta mål av någon anledning upphör att gälla och därmed försvinner ur sikte, upphör intressena att sammanfalla. I det senare fallet lägger man ned konfliktvapnen för tillfället, eftersom överenskommelsen är tillräckligt bra, jämfört med hur det skulle kunna bli om den öppna konflikten fortsätter. I båda fallen bestämmer den historiska kontexten förutsättningarna för överenskommelsen. När villkoren förändras påverkar detta intressekampens förutsättningar och då kanske det inte är möjligt att ingå en ny överenskommelse. </w:t>
      </w:r>
    </w:p>
    <w:p w14:paraId="303482AA"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Konfliktalternativen är teoretiska renodlingar. I den konkreta historiska kontexten kan parternas intressen vara mer eller mindre sammanfallande. Detta måste i sådana fall tas i beaktande när parterna gör sin riskanalys. Vad uppnår vi genom att göra en överenskommelse jämfört med att inte göra det? För att formulera det annorlunda: behovet av att komma överens behöver alltså inte vara beroende av konsensusföreställningar, utan av att man gör en rationell riskanalys av vad det kan ”kosta” om man inte kommer överens. På så sätt kan konfliktrisken och riskanalysen driva fram ett förhandlingsresultat.</w:t>
      </w:r>
      <w:r>
        <w:rPr>
          <w:rStyle w:val="Fotnotsreferens"/>
          <w:rFonts w:ascii="Times New Roman" w:hAnsi="Times New Roman"/>
          <w:bCs/>
          <w:spacing w:val="-3"/>
        </w:rPr>
        <w:footnoteReference w:id="4"/>
      </w:r>
    </w:p>
    <w:p w14:paraId="69857551" w14:textId="77777777" w:rsidR="004850E7" w:rsidRDefault="004850E7">
      <w:pPr>
        <w:suppressAutoHyphens/>
        <w:spacing w:line="360" w:lineRule="auto"/>
        <w:jc w:val="both"/>
        <w:rPr>
          <w:rFonts w:ascii="Times New Roman" w:hAnsi="Times New Roman"/>
          <w:bCs/>
          <w:spacing w:val="-3"/>
        </w:rPr>
      </w:pPr>
    </w:p>
    <w:p w14:paraId="3FF2A228" w14:textId="77777777" w:rsidR="004850E7" w:rsidRDefault="004850E7">
      <w:pPr>
        <w:pStyle w:val="Rubrik2"/>
      </w:pPr>
      <w:r>
        <w:t>Konfliktlösning ur ett spelteoretiskt perspektiv</w:t>
      </w:r>
    </w:p>
    <w:p w14:paraId="5A43AA6D"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I en artikel i </w:t>
      </w:r>
      <w:r>
        <w:rPr>
          <w:rFonts w:ascii="Times New Roman" w:hAnsi="Times New Roman"/>
          <w:bCs/>
          <w:i/>
          <w:iCs/>
          <w:spacing w:val="-3"/>
        </w:rPr>
        <w:t>Ekonomisk debatt</w:t>
      </w:r>
      <w:r>
        <w:rPr>
          <w:rFonts w:ascii="Times New Roman" w:hAnsi="Times New Roman"/>
          <w:bCs/>
          <w:spacing w:val="-3"/>
        </w:rPr>
        <w:t xml:space="preserve"> presenterar de båda nationalekonomerna Tore Ellingsen och Jörgen W Weibull 2005 års Nobelpristagares spelteoretiska forskning. I denna artikel betonas ett liknande perspektiv som jag tar upp här. De skriver:</w:t>
      </w:r>
    </w:p>
    <w:p w14:paraId="70EE05E4" w14:textId="77777777" w:rsidR="004850E7" w:rsidRDefault="004850E7">
      <w:pPr>
        <w:widowControl/>
        <w:spacing w:line="360" w:lineRule="auto"/>
        <w:jc w:val="both"/>
        <w:rPr>
          <w:rFonts w:ascii="Times New Roman" w:hAnsi="Times New Roman"/>
          <w:bCs/>
          <w:spacing w:val="-3"/>
        </w:rPr>
      </w:pPr>
      <w:r>
        <w:rPr>
          <w:rFonts w:ascii="Times New Roman" w:hAnsi="Times New Roman"/>
          <w:bCs/>
          <w:spacing w:val="-3"/>
        </w:rPr>
        <w:t xml:space="preserve">   ”</w:t>
      </w:r>
      <w:r>
        <w:rPr>
          <w:rFonts w:ascii="Times New Roman" w:hAnsi="Times New Roman"/>
          <w:i/>
          <w:lang w:eastAsia="en-US"/>
        </w:rPr>
        <w:t>En förhandlingssituation innehåller alltid en intressekonflikt där varje part söker uppnå en så fördelaktig överenskommelse som möjligt. Samtidigt ligger det i bådas intresse att komma överens, varför det ofta kan löna sig att ge vika något för att undvika att förhandlingen bryter samman. Varje part måste alltså väga sin önskan om en stor andel av kakan mot risken att kakan försvinner helt och hållet</w:t>
      </w:r>
      <w:r>
        <w:rPr>
          <w:rFonts w:ascii="Times New Roman" w:hAnsi="Times New Roman"/>
          <w:lang w:eastAsia="en-US"/>
        </w:rPr>
        <w:t>.”</w:t>
      </w:r>
      <w:r>
        <w:rPr>
          <w:rStyle w:val="Fotnotsreferens"/>
          <w:rFonts w:ascii="Times New Roman" w:hAnsi="Times New Roman"/>
          <w:lang w:eastAsia="en-US"/>
        </w:rPr>
        <w:footnoteReference w:id="5"/>
      </w:r>
    </w:p>
    <w:p w14:paraId="7664E40D"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Citatet indikerar en betoning av nyttomaximering och av att aktörer är ekonomiskt rationella varelser. Den historiska kontexten behöver inte vara så förenklad. </w:t>
      </w:r>
    </w:p>
    <w:p w14:paraId="178DBA0A" w14:textId="0597A28B"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Teoretiskt kan man hävda att det egentligen inte går att komma överens, eftersom intressemotsättningen medför at</w:t>
      </w:r>
      <w:r w:rsidR="00461043">
        <w:rPr>
          <w:rFonts w:ascii="Times New Roman" w:hAnsi="Times New Roman"/>
          <w:bCs/>
          <w:spacing w:val="-3"/>
        </w:rPr>
        <w:t>t</w:t>
      </w:r>
      <w:r>
        <w:rPr>
          <w:rFonts w:ascii="Times New Roman" w:hAnsi="Times New Roman"/>
          <w:bCs/>
          <w:spacing w:val="-3"/>
        </w:rPr>
        <w:t xml:space="preserve"> det alltid finns en grundläggande konflikt mellan parterna. Detta konfliktperspektiv har framför allt inom historiematerialistisk forskning formulerats i klasstermer och förutsätter att klasskampen är ständigt pågående. En möjlig slutsats av detta är att det därför inte går att göra annat än tillfälliga överenskommelser. En mer taktisk slutsats är att konflikten dessutom långsiktigt fyller en positiv roll och skapar förutsättningar för att varaktigt besegra motparten.</w:t>
      </w:r>
      <w:r>
        <w:rPr>
          <w:rStyle w:val="Fotnotsreferens"/>
          <w:rFonts w:ascii="Times New Roman" w:hAnsi="Times New Roman"/>
          <w:bCs/>
          <w:spacing w:val="-3"/>
        </w:rPr>
        <w:footnoteReference w:id="6"/>
      </w:r>
      <w:r>
        <w:rPr>
          <w:rFonts w:ascii="Times New Roman" w:hAnsi="Times New Roman"/>
          <w:bCs/>
          <w:spacing w:val="-3"/>
        </w:rPr>
        <w:t xml:space="preserve"> Det senare tänkandet representerades till exempel av den Kominterntrogna delen av SKP under den tidiga mellankrigstiden. De menade att den fackliga kampen alltid var underordnad den politiska, vars syfte var att göra revolution. Därför kunde det ligga i kommunisternas intressen att underblåsa fackliga konflikter, som ökade konfliktnivån i samhället, så att möjligheterna att göra revolution förstärktes.</w:t>
      </w:r>
      <w:r>
        <w:rPr>
          <w:rStyle w:val="Fotnotsreferens"/>
          <w:rFonts w:ascii="Times New Roman" w:hAnsi="Times New Roman"/>
          <w:bCs/>
          <w:spacing w:val="-3"/>
        </w:rPr>
        <w:footnoteReference w:id="7"/>
      </w:r>
      <w:r>
        <w:rPr>
          <w:rFonts w:ascii="Times New Roman" w:hAnsi="Times New Roman"/>
          <w:bCs/>
          <w:spacing w:val="-3"/>
        </w:rPr>
        <w:t xml:space="preserve"> Motargumentet är att klasskampens mål inte behöver vara att till varje pris göra revolution, utan kan vara ett sätt att långsiktigt förändra maktförhållanden och skapa ett </w:t>
      </w:r>
      <w:r w:rsidR="00461043">
        <w:rPr>
          <w:rFonts w:ascii="Times New Roman" w:hAnsi="Times New Roman"/>
          <w:bCs/>
          <w:spacing w:val="-3"/>
        </w:rPr>
        <w:t xml:space="preserve">”gott samhälle” – eller </w:t>
      </w:r>
      <w:r>
        <w:rPr>
          <w:rFonts w:ascii="Times New Roman" w:hAnsi="Times New Roman"/>
          <w:bCs/>
          <w:spacing w:val="-3"/>
        </w:rPr>
        <w:t>välfärdssamhälle.</w:t>
      </w:r>
    </w:p>
    <w:p w14:paraId="3326DA17" w14:textId="2A17BF2B"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Ett mer konsensusartat perspektiv kan förknippas med begreppet koordinationsspel, som används inom nationalekonomisk forskning. Det innebär att det är viktigast för parterna att komma fram till en lösning. Hur lösningen ser ut spelar mindre roll.</w:t>
      </w:r>
      <w:r>
        <w:rPr>
          <w:rStyle w:val="Fotnotsreferens"/>
          <w:rFonts w:ascii="Times New Roman" w:hAnsi="Times New Roman"/>
          <w:lang w:eastAsia="en-US"/>
        </w:rPr>
        <w:footnoteReference w:id="8"/>
      </w:r>
      <w:r>
        <w:rPr>
          <w:rFonts w:ascii="Times New Roman" w:hAnsi="Times New Roman"/>
          <w:bCs/>
          <w:spacing w:val="-3"/>
        </w:rPr>
        <w:t xml:space="preserve"> I det här fallet kan ett motargument vara att det är rimligt att anta att parter väljer lösningar, som ligger nära deras egna intressen. Detta skapar förutsättningar för samhälleliga konflikter. Om </w:t>
      </w:r>
      <w:r w:rsidR="00E87D78">
        <w:rPr>
          <w:rFonts w:ascii="Times New Roman" w:hAnsi="Times New Roman"/>
          <w:bCs/>
          <w:spacing w:val="-3"/>
        </w:rPr>
        <w:t>k</w:t>
      </w:r>
      <w:r>
        <w:rPr>
          <w:rFonts w:ascii="Times New Roman" w:hAnsi="Times New Roman"/>
          <w:bCs/>
          <w:spacing w:val="-3"/>
        </w:rPr>
        <w:t>onfliktnivån i samhället inte är oerhört hög eller om risken för okalkylerbara villkor är mycket stor, är det inte troligt att parter till varje pris väljer att göra en kompromiss.</w:t>
      </w:r>
      <w:r>
        <w:rPr>
          <w:rStyle w:val="Fotnotsreferens"/>
          <w:rFonts w:ascii="Times New Roman" w:hAnsi="Times New Roman"/>
          <w:bCs/>
          <w:spacing w:val="-3"/>
        </w:rPr>
        <w:footnoteReference w:id="9"/>
      </w:r>
    </w:p>
    <w:p w14:paraId="748970A1" w14:textId="1074BFD0"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Så över till själva förhandlingsbegreppet. Teoretiskt skiljer jag mellan institutionaliserad och icke-institutionaliserad förhandling. I den förstnämnda typen följer parterna gemensamt uppsatta </w:t>
      </w:r>
      <w:r w:rsidR="00B5550F">
        <w:rPr>
          <w:rFonts w:ascii="Times New Roman" w:hAnsi="Times New Roman"/>
          <w:bCs/>
          <w:spacing w:val="-3"/>
        </w:rPr>
        <w:t xml:space="preserve">formella </w:t>
      </w:r>
      <w:r>
        <w:rPr>
          <w:rFonts w:ascii="Times New Roman" w:hAnsi="Times New Roman"/>
          <w:bCs/>
          <w:spacing w:val="-3"/>
        </w:rPr>
        <w:t>regler för hur de ska förhandla, med syfte att uppnå ett förhandlingsresultat. Till exempel kan parterna sätta upp en bestämd dagordning för vilka frågor som ska behandlas och utifrån denna dagordning sträva efter att nå ett förhandlingsresultat. Regelverket och utgångspunkten att nå en överenskommelse medför att dessa förhandlingar kan fungera tillitsskapande, eftersom förhandlingsprocessen i viss utsträckning är kalkylerbar och målet är att nå en lösning, som båda parter uppfattar som förnuftig.</w:t>
      </w:r>
      <w:r>
        <w:rPr>
          <w:rStyle w:val="Fotnotsreferens"/>
          <w:rFonts w:ascii="Times New Roman" w:hAnsi="Times New Roman"/>
          <w:bCs/>
          <w:spacing w:val="-3"/>
        </w:rPr>
        <w:footnoteReference w:id="10"/>
      </w:r>
      <w:r>
        <w:rPr>
          <w:rFonts w:ascii="Times New Roman" w:hAnsi="Times New Roman"/>
          <w:bCs/>
          <w:spacing w:val="-3"/>
        </w:rPr>
        <w:t xml:space="preserve"> </w:t>
      </w:r>
    </w:p>
    <w:p w14:paraId="57B2CD3E" w14:textId="297EDA3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Den icke-institutionaliserade förhandlingen utspelas inte vid förhandlingsbordet. Den saknar också i förväg bestämda regler. Den kan uppstå mer spontant och präglas av vardagens villkor. Man förhandlar om positioner, personliga fördelar och värde</w:t>
      </w:r>
      <w:r w:rsidR="00C7018F">
        <w:rPr>
          <w:rFonts w:ascii="Times New Roman" w:hAnsi="Times New Roman"/>
          <w:bCs/>
          <w:spacing w:val="-3"/>
        </w:rPr>
        <w:t>n</w:t>
      </w:r>
      <w:r>
        <w:rPr>
          <w:rFonts w:ascii="Times New Roman" w:hAnsi="Times New Roman"/>
          <w:bCs/>
          <w:spacing w:val="-3"/>
        </w:rPr>
        <w:t xml:space="preserve"> på varor. Även den typ av förhandlingar</w:t>
      </w:r>
      <w:r w:rsidR="00C7018F">
        <w:rPr>
          <w:rFonts w:ascii="Times New Roman" w:hAnsi="Times New Roman"/>
          <w:bCs/>
          <w:spacing w:val="-3"/>
        </w:rPr>
        <w:t>,</w:t>
      </w:r>
      <w:r>
        <w:rPr>
          <w:rFonts w:ascii="Times New Roman" w:hAnsi="Times New Roman"/>
          <w:bCs/>
          <w:spacing w:val="-3"/>
        </w:rPr>
        <w:t xml:space="preserve"> som uppstår när en under- eller överordnad part försöker töja på gränserna för det acceptabla beteendet inom ramen för en hegemonisk maktordning, kan analyseras som icke-institutionaliserade förhandlingar, eftersom det handlar om att förhandla om oskrivna och outtalade överenskommelser om hur respektive part förväntas handla.</w:t>
      </w:r>
      <w:r>
        <w:rPr>
          <w:rStyle w:val="Fotnotsreferens"/>
          <w:rFonts w:ascii="Times New Roman" w:hAnsi="Times New Roman"/>
          <w:bCs/>
          <w:spacing w:val="-3"/>
        </w:rPr>
        <w:footnoteReference w:id="11"/>
      </w:r>
      <w:r>
        <w:rPr>
          <w:rFonts w:ascii="Times New Roman" w:hAnsi="Times New Roman"/>
          <w:bCs/>
          <w:spacing w:val="-3"/>
        </w:rPr>
        <w:t xml:space="preserve"> Det är rimligt att tänka sig att den icke-institutionaliserade förhandlingen kan skapa förutsättningar för etableringen av ett förhandlingssystem – det vill säga en institutionaliserad förhandling</w:t>
      </w:r>
      <w:r w:rsidR="00C7018F">
        <w:rPr>
          <w:rFonts w:ascii="Times New Roman" w:hAnsi="Times New Roman"/>
          <w:bCs/>
          <w:spacing w:val="-3"/>
        </w:rPr>
        <w:t xml:space="preserve"> med bestämda regler</w:t>
      </w:r>
      <w:r>
        <w:rPr>
          <w:rFonts w:ascii="Times New Roman" w:hAnsi="Times New Roman"/>
          <w:bCs/>
          <w:spacing w:val="-3"/>
        </w:rPr>
        <w:t>.</w:t>
      </w:r>
    </w:p>
    <w:p w14:paraId="0178AE00" w14:textId="6680AC25"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Eva Österberg tar upp exempel på icke-institutionella förhandlingar. Hon menar att bönder och andra folkliga grupper under tidigmodern tid gjorde vardagligt motstånd genom att maska, spela dumma eller fly från krigstjänst. Genom sitt motstånd underminerade de makten och dess anspråk. Hon tolkar även de omfattande klagomålen som bönder sände in till riksdagen och andra former av motstånd som uttryck för folkliga förhandlingar med makten.</w:t>
      </w:r>
      <w:r>
        <w:rPr>
          <w:rStyle w:val="Fotnotsreferens"/>
          <w:rFonts w:ascii="Times New Roman" w:hAnsi="Times New Roman"/>
          <w:bCs/>
          <w:spacing w:val="-3"/>
        </w:rPr>
        <w:footnoteReference w:id="12"/>
      </w:r>
      <w:r>
        <w:rPr>
          <w:rFonts w:ascii="Times New Roman" w:hAnsi="Times New Roman"/>
          <w:bCs/>
          <w:spacing w:val="-3"/>
        </w:rPr>
        <w:t xml:space="preserve"> Dessa förhandlande motståndshandlingar var individuella och nådde rimligen inte samma effekt som kollektivt handlande. Enligt Österberg deltog inte enbart de underordnade i det icke-institutionaliserade förhandlingsspelet, utan denna typ av förhandlingar var även av stor betydelse för de makthavande. Kungamakten förhandlade med menigheten med hjälp av en retorik som betonade ömsesidighet, vilket på så sätt syftade till att skapa legitimitet. Dessutom tillhandahöll makten arenor. ”</w:t>
      </w:r>
      <w:r>
        <w:rPr>
          <w:rFonts w:ascii="Times New Roman" w:hAnsi="Times New Roman"/>
          <w:bCs/>
          <w:i/>
          <w:spacing w:val="-3"/>
        </w:rPr>
        <w:t>Domstolarna fungerade … inte bara som maktens teater utan även som en social arena, där bönderna löste sina tvister och problem</w:t>
      </w:r>
      <w:r>
        <w:rPr>
          <w:rFonts w:ascii="Times New Roman" w:hAnsi="Times New Roman"/>
          <w:bCs/>
          <w:spacing w:val="-3"/>
        </w:rPr>
        <w:t>.”</w:t>
      </w:r>
      <w:r>
        <w:rPr>
          <w:rStyle w:val="Fotnotsreferens"/>
          <w:rFonts w:ascii="Times New Roman" w:hAnsi="Times New Roman"/>
          <w:bCs/>
          <w:spacing w:val="-3"/>
        </w:rPr>
        <w:footnoteReference w:id="13"/>
      </w:r>
      <w:r w:rsidR="00C7018F">
        <w:rPr>
          <w:rFonts w:ascii="Times New Roman" w:hAnsi="Times New Roman"/>
          <w:bCs/>
          <w:spacing w:val="-3"/>
        </w:rPr>
        <w:t xml:space="preserve"> Man kan alltså dra slutsatsen att klagomålen bidrog till att makten behövde legitimera sitt handlande och sina institutionaliserade kommunikativa regler och arenor.</w:t>
      </w:r>
    </w:p>
    <w:p w14:paraId="0DB7EDC0" w14:textId="6F0E8509"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I praktiken kan institutionaliserad och icke-institutionaliserad förhandling pågå samtidigt. Till exempel kan två parter bedriva en institutionaliserad förhandling, som innehåller icke-institutionaliserade moment. På ett möte i en förening handlar den institutionaliserade förhandlingen om vad som beslutas. Vid sidan om detta kan det pågå en icke-institutionaliserad förhandling om mening, som rör hur begrepp används och </w:t>
      </w:r>
      <w:r w:rsidR="00B75164">
        <w:rPr>
          <w:rFonts w:ascii="Times New Roman" w:hAnsi="Times New Roman"/>
          <w:bCs/>
          <w:spacing w:val="-3"/>
        </w:rPr>
        <w:t xml:space="preserve">om hur </w:t>
      </w:r>
      <w:r>
        <w:rPr>
          <w:rFonts w:ascii="Times New Roman" w:hAnsi="Times New Roman"/>
          <w:bCs/>
          <w:spacing w:val="-3"/>
        </w:rPr>
        <w:t>verkligheten tolkas; om hur positioner omförhandlas; och om värde</w:t>
      </w:r>
      <w:r w:rsidR="00F1019C">
        <w:rPr>
          <w:rFonts w:ascii="Times New Roman" w:hAnsi="Times New Roman"/>
          <w:bCs/>
          <w:spacing w:val="-3"/>
        </w:rPr>
        <w:t>n</w:t>
      </w:r>
      <w:r>
        <w:rPr>
          <w:rFonts w:ascii="Times New Roman" w:hAnsi="Times New Roman"/>
          <w:bCs/>
          <w:spacing w:val="-3"/>
        </w:rPr>
        <w:t xml:space="preserve"> kan vara en relativ fråga som behöver förhandlas om. Inom ramen för institutionaliserade förhandlingar är det möjligt att utveckla en förhandlingskultur, där förhandlingar är en mer eller mindre beständig konfliktlösningsmekanism. Här kommer jag enbart att diskutera förhandlingar som konfliktlösningsmekanism – inte som ett sätt att omförhandla hegemoniska maktordningar. Den typ av institutionaliserade förhandlingar jag berör är av kollektiv karaktär, även om de utförs av ett litet antal förhandlare. Detta har samband med hur det kollektiva förhandlingssystemet är utformat. En följd av att förhandlingskulturen institutionaliseras är därför att förhandlingarna utgör en del av en representativ demokratisk ordning. </w:t>
      </w:r>
    </w:p>
    <w:p w14:paraId="6428979F"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Förhandlingskulturens framväxt medför att konflikter kan lösas och att framtiden på så sätt blir mer kalkylerbar, men vägen från konflikt via förhandling till en kompromiss behöver inte vara rätlinjig och kalkylerbar. I förhandlingen gör parterna taktiska och strategiska överväganden. Framför allt är det inte givet att man anger sina avsikter och bevekelsegrunder. Detta markeras med all tydlighet i en handbok för tjänstemannarörelsens förhandlare, där författaren skriver:</w:t>
      </w:r>
    </w:p>
    <w:p w14:paraId="044D8EF0"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w:t>
      </w:r>
      <w:r>
        <w:rPr>
          <w:rFonts w:ascii="Times New Roman" w:hAnsi="Times New Roman"/>
          <w:bCs/>
          <w:i/>
          <w:spacing w:val="-3"/>
        </w:rPr>
        <w:t>I förhandlingar där vi inte känner till eller har en oklar uppfattning om arbetsgivarens egentliga avsikter skapar vi medvetet eller omedvetet en förnuftsmässig uppfattning. Denna kan vi sedan ändra på efter de uppgifter som erhålls under förhandlingens gång – om vi är medvetna om att vår inställning inte nödvändigtvis är rätt</w:t>
      </w:r>
      <w:r>
        <w:rPr>
          <w:rFonts w:ascii="Times New Roman" w:hAnsi="Times New Roman"/>
          <w:bCs/>
          <w:spacing w:val="-3"/>
        </w:rPr>
        <w:t>.”</w:t>
      </w:r>
      <w:r>
        <w:rPr>
          <w:rStyle w:val="Fotnotsreferens"/>
          <w:rFonts w:ascii="Times New Roman" w:hAnsi="Times New Roman"/>
          <w:bCs/>
          <w:spacing w:val="-3"/>
        </w:rPr>
        <w:footnoteReference w:id="14"/>
      </w:r>
    </w:p>
    <w:p w14:paraId="2E7132A7" w14:textId="32AD6914"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Detta citat för tankarna till spelteoriers betoning av rationalitet.</w:t>
      </w:r>
      <w:r>
        <w:rPr>
          <w:rStyle w:val="Fotnotsreferens"/>
          <w:rFonts w:ascii="Times New Roman" w:hAnsi="Times New Roman"/>
          <w:bCs/>
          <w:spacing w:val="-3"/>
        </w:rPr>
        <w:footnoteReference w:id="15"/>
      </w:r>
      <w:r>
        <w:rPr>
          <w:rFonts w:ascii="Times New Roman" w:hAnsi="Times New Roman"/>
          <w:bCs/>
          <w:spacing w:val="-3"/>
        </w:rPr>
        <w:t xml:space="preserve"> Nedan ska jag med hjälp av spelteorisk inspiration utveckla ett teoretisk</w:t>
      </w:r>
      <w:r w:rsidR="00F1019C">
        <w:rPr>
          <w:rFonts w:ascii="Times New Roman" w:hAnsi="Times New Roman"/>
          <w:bCs/>
          <w:spacing w:val="-3"/>
        </w:rPr>
        <w:t>t</w:t>
      </w:r>
      <w:r>
        <w:rPr>
          <w:rFonts w:ascii="Times New Roman" w:hAnsi="Times New Roman"/>
          <w:bCs/>
          <w:spacing w:val="-3"/>
        </w:rPr>
        <w:t xml:space="preserve"> koncept, genom att diskutera hur förhandlingar kan fungera som konfliktlösningsmekanism. </w:t>
      </w:r>
    </w:p>
    <w:p w14:paraId="47B1039D" w14:textId="77777777" w:rsidR="004850E7" w:rsidRDefault="004850E7">
      <w:pPr>
        <w:suppressAutoHyphens/>
        <w:spacing w:line="360" w:lineRule="auto"/>
        <w:jc w:val="both"/>
        <w:rPr>
          <w:rFonts w:ascii="Times New Roman" w:hAnsi="Times New Roman"/>
          <w:bCs/>
          <w:spacing w:val="-3"/>
        </w:rPr>
      </w:pPr>
    </w:p>
    <w:p w14:paraId="6CE47ACB" w14:textId="77777777" w:rsidR="004850E7" w:rsidRDefault="004850E7">
      <w:pPr>
        <w:pStyle w:val="Rubrik1"/>
      </w:pPr>
      <w:r>
        <w:t xml:space="preserve">Kollektiva, institutionaliserade förhandlingar som konfliktlösningsmekanism </w:t>
      </w:r>
    </w:p>
    <w:p w14:paraId="1447B902" w14:textId="5C9FE1B5" w:rsidR="004850E7" w:rsidRDefault="004850E7">
      <w:pPr>
        <w:pStyle w:val="Brdtext2"/>
        <w:tabs>
          <w:tab w:val="clear" w:pos="-720"/>
        </w:tabs>
        <w:rPr>
          <w:bCs/>
          <w:spacing w:val="-3"/>
        </w:rPr>
      </w:pPr>
      <w:r>
        <w:rPr>
          <w:bCs/>
          <w:spacing w:val="-3"/>
        </w:rPr>
        <w:t xml:space="preserve">Varför fungerade förhandlingar i vissa historiska kontexter som konfliktlösningsmekanism och utvecklades till en förhandlingskultur, medan de i andra kontexter enbart institutionaliserade konflikterna? Denna fråga tyder på att svaret behöver vara komplext och mångfacetterat. Här ska </w:t>
      </w:r>
      <w:r w:rsidR="00166725">
        <w:rPr>
          <w:bCs/>
          <w:spacing w:val="-3"/>
        </w:rPr>
        <w:t>jag</w:t>
      </w:r>
      <w:r>
        <w:rPr>
          <w:bCs/>
          <w:spacing w:val="-3"/>
        </w:rPr>
        <w:t xml:space="preserve"> lyfta fram tre utgångspunkter för ett svar på frågan: </w:t>
      </w:r>
    </w:p>
    <w:p w14:paraId="1E912D90" w14:textId="328B2690"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För det första verkar det vara nödvändigt att utgå från den historiska kontextens förutsättningar. I vissa historiska kontexter fanns en förhandlingskultur, som innebar att parterna deltog i förhandlingar med det uttryckliga målet att de skulle nå ett beslut eller </w:t>
      </w:r>
      <w:r w:rsidR="00166725">
        <w:rPr>
          <w:rFonts w:ascii="Times New Roman" w:hAnsi="Times New Roman"/>
          <w:bCs/>
          <w:spacing w:val="-3"/>
        </w:rPr>
        <w:t xml:space="preserve">en </w:t>
      </w:r>
      <w:r>
        <w:rPr>
          <w:rFonts w:ascii="Times New Roman" w:hAnsi="Times New Roman"/>
          <w:bCs/>
          <w:spacing w:val="-3"/>
        </w:rPr>
        <w:t>överenskommelse, även om det inte var frågan om något koordinationsspel. Dessutom förväntade de sig att även motparten skulle följa beslutet eller överenskommelsen. När en förhandlingskultur saknades eller var svag, var det möjligt för parterna att delta i förhandlingar och nå överenskommelser, som de bara tänkte följa under vissa begränsade villkor. Då fungerade förhandlingsordningen inte som långsiktig konfliktlösningsmekanism. Av detta kan vi dra slutsatsen att en förhandlingskultur förutsätter tillit och tillitsskapande åtgärder mellan parterna. Under sådana förutsättningar medförde tilliten att insatserna höjdes om någon av dem ville bryta med en överenskommelse. Ett sådant brott kunde få långtgående konsekvenser inte bara för tillfället utan också på sikt, eftersom detta inte bara riskerade själva överenskommelsen, utan också den tillit som skapade förutsättningar för att långsiktigt nå förhandlingsöverenskommelser.</w:t>
      </w:r>
    </w:p>
    <w:p w14:paraId="428DAAC1"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För det andra behöver man analysera förhandlingen utifrån dess samhälleliga roll – om förhandlingen inte bara spelar roll för den specifika relationen mellan förhandlingens parter, utan också om den ingår i ett mer omfattande samhälleligt sammanhang. En idealtypisk möjlighet är att förhandlingskulturen mer eller mindre genomsyrar hela samhället. Detta innebär att förhandlingar institutionaliseras som ”Sättet att lösa konflikter på”. Eftersom detta skapar förutsägbarhet och innebär att konflikter förr eller senare förmodas kunna lösas genom förhandlingar, bidrar det i sin tur till att skapa tillit, som sannolikt får som följd att själva relationen mellan parterna uppfattas som mindre konfliktfylld, trots att intressemotsättningarna består.</w:t>
      </w:r>
      <w:r>
        <w:rPr>
          <w:rStyle w:val="Fotnotsreferens"/>
          <w:rFonts w:ascii="Times New Roman" w:hAnsi="Times New Roman"/>
          <w:bCs/>
          <w:spacing w:val="-3"/>
        </w:rPr>
        <w:footnoteReference w:id="16"/>
      </w:r>
    </w:p>
    <w:p w14:paraId="4FDC85DB"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För det tredje behöver man analysera hur själva förhandlingsinstitutionen såg ut i den specifika historiska kontexten. Analysen bygger på att förhandlingar, i den historiska kontext jag undersöker, vanligen präglas och struktureras av assymetriska maktrelationer, där ena parten har betydligt större maktresurser än den andra.</w:t>
      </w:r>
    </w:p>
    <w:p w14:paraId="5A07F0EF"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För att gå vidare kan konflikter lösas på olika sätt. En lösning är att båda parter ”jämkar” sina ståndpunkter och sluter en kompromissöverenskommelse, som för tillfället uppfattas som acceptabel av båda parter. En annan lösning uppstår vid ”förankring”, där ena eller båda parter övertygas om att förslaget är förnuftigt. En tredje lösning är att parterna upptäcker att de har sammanfallande intressen av en förhandlingsöverenskommelse. I alla fall präglas förhandlingssituationen av rationalitet, förnuftstänkande samt kort- och långsiktiga överväganden. Parternas riskanalyser och förnuftstänkande bidrar till att de väljer förhandlingslösningar framför en öppen konflikt, där förutsättningarna inte längre är kalkylerbara. Om en medlare finns tillgänglig kan denne dessutom lugna ned förhandlingsklimatet och öka förutsättningarna för att nå förhandlingslösningar. </w:t>
      </w:r>
    </w:p>
    <w:p w14:paraId="7DB2DA83"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Hur kan då förhandlingsstrategin se ut? Ett exempel på den historiska kontextens roll, och som diskuteras inom spelteoretisk forskning, är att soldater i första världskrigets skyttegravskrig på västfronten mellan offensiverna valde att inte skjuta ihjäl varandra, trots att de kunde och skulle göra det. På båda sidor tillämpade soldaterna en ”leva och låta leva”-strategi. Denna strategi har inte använts i andra krig. Medan arméhögkvarteren strävade efter ett utnötningskrig, såg soldaterna vid fronten sitt agerande som ett nollsummespel. Därför föredrog de på båda sidor återhållsamhet framför straffåtgärder. Spelteoretikern Robert Axelrod förklarar handlandet med att det var samma personer som stod emot varandra. Min slutsats är att man hade sammanfallande skäl av att överleva. Därför valde man denna sorts strategi, som bland annat innebar att man rutinmässigt gav eld vid en viss tid och mot en viss plats. Krigföringen blev på så sätt ritualiserad och tillfredsställde ledningen samtidigt som den inte uppfattades som hotfull av motståndarna. I slutet av kriget förstördes dock strategin av att högkvarteret beordrade räder, vilka förödde den tillit som fanns mellan soldaterna. När så skedde utvecklades därför en hämndmoral. Tillitsbrotten behövde bestraffas.</w:t>
      </w:r>
      <w:r>
        <w:rPr>
          <w:rStyle w:val="Fotnotsreferens"/>
          <w:rFonts w:ascii="Times New Roman" w:hAnsi="Times New Roman"/>
          <w:bCs/>
          <w:spacing w:val="-3"/>
        </w:rPr>
        <w:footnoteReference w:id="17"/>
      </w:r>
      <w:r>
        <w:rPr>
          <w:rFonts w:ascii="Times New Roman" w:hAnsi="Times New Roman"/>
          <w:bCs/>
          <w:spacing w:val="-3"/>
        </w:rPr>
        <w:t xml:space="preserve"> Eftersom spelteori bygger på rationellt handlande är hämnd ett uttryck för ett orationellt och känslomässigt baserat handlande, men empirin visar att människor inte agerar så rationellt som spelteoretikerna förutsätter.</w:t>
      </w:r>
      <w:r>
        <w:rPr>
          <w:rStyle w:val="Fotnotsreferens"/>
          <w:rFonts w:ascii="Times New Roman" w:hAnsi="Times New Roman"/>
          <w:bCs/>
          <w:spacing w:val="-3"/>
        </w:rPr>
        <w:footnoteReference w:id="18"/>
      </w:r>
    </w:p>
    <w:p w14:paraId="5175BDB0" w14:textId="77777777" w:rsidR="004850E7" w:rsidRDefault="004850E7">
      <w:pPr>
        <w:widowControl/>
        <w:spacing w:line="360" w:lineRule="auto"/>
        <w:jc w:val="both"/>
        <w:rPr>
          <w:rFonts w:ascii="Times New Roman" w:hAnsi="Times New Roman"/>
          <w:bCs/>
          <w:spacing w:val="-3"/>
        </w:rPr>
      </w:pPr>
      <w:r>
        <w:rPr>
          <w:rFonts w:ascii="Times New Roman" w:hAnsi="Times New Roman"/>
          <w:bCs/>
          <w:spacing w:val="-3"/>
        </w:rPr>
        <w:t xml:space="preserve">   Citatet ovan från förhandlingshandboken visar att parternas taktiska agerande vid förhandlingsbordet utgör en osäkerhetsfaktor. Respektive part gör sina taktiska val i ett taktikspel, som syftar till att man ska vinna så stora fördelar som möjligt på den andra partens bekostnad. Spelmomentet medför dessutom att själva förhandlingsspelet kan vara svårkalkylerbart.</w:t>
      </w:r>
      <w:r>
        <w:rPr>
          <w:rStyle w:val="Fotnotsreferens"/>
          <w:rFonts w:ascii="Times New Roman" w:hAnsi="Times New Roman"/>
          <w:bCs/>
          <w:spacing w:val="-3"/>
        </w:rPr>
        <w:footnoteReference w:id="19"/>
      </w:r>
      <w:r>
        <w:rPr>
          <w:rFonts w:ascii="Times New Roman" w:hAnsi="Times New Roman"/>
          <w:bCs/>
          <w:spacing w:val="-3"/>
        </w:rPr>
        <w:t xml:space="preserve"> Här har jag inte möjligheter att göra en mer ingående undersökning av taktikspelet, men några taktiska drag kan nämnas. Till exempel kan parterna ”bakbinda sig själva”. Detta innebär att de har ett mer eller mindre ”bundet” mandat i själva förhandlingen. Denna typ av förhandlingstaktik kallas ”strategisk självbindning” och medför att förhandlaren får svårt att komma till ett resultat som avviker från det mandat han eller hon fått från dem som man förhandlar för.</w:t>
      </w:r>
      <w:r>
        <w:rPr>
          <w:rStyle w:val="Fotnotsreferens"/>
          <w:rFonts w:ascii="Times New Roman" w:hAnsi="Times New Roman"/>
          <w:bCs/>
          <w:spacing w:val="-3"/>
        </w:rPr>
        <w:footnoteReference w:id="20"/>
      </w:r>
      <w:r>
        <w:rPr>
          <w:rFonts w:ascii="Times New Roman" w:hAnsi="Times New Roman"/>
          <w:bCs/>
          <w:spacing w:val="-3"/>
        </w:rPr>
        <w:t xml:space="preserve"> Det bundna mandatet kan antingen vara ett resultat av att medlemmarna binder upp förhandlaren eller att förhandlaren använder medlemmarnas mandat som taktiskt vapen i förhandlingsspelet.</w:t>
      </w:r>
      <w:r>
        <w:rPr>
          <w:rStyle w:val="Fotnotsreferens"/>
          <w:rFonts w:ascii="Times New Roman" w:hAnsi="Times New Roman"/>
          <w:bCs/>
          <w:spacing w:val="-3"/>
        </w:rPr>
        <w:footnoteReference w:id="21"/>
      </w:r>
      <w:r>
        <w:rPr>
          <w:rFonts w:ascii="Times New Roman" w:hAnsi="Times New Roman"/>
          <w:bCs/>
          <w:spacing w:val="-3"/>
        </w:rPr>
        <w:t xml:space="preserve"> På motsvarande sätt kan förhandlaren begära att få ett obundet mandat, för att nå så långt som möjligt i förhandlingsspelet, utan att behöva ta hänsyn till förutbestämda krav.</w:t>
      </w:r>
    </w:p>
    <w:p w14:paraId="2CFAEA92" w14:textId="77777777" w:rsidR="004850E7" w:rsidRDefault="004850E7">
      <w:pPr>
        <w:widowControl/>
        <w:spacing w:line="360" w:lineRule="auto"/>
        <w:jc w:val="both"/>
        <w:rPr>
          <w:rFonts w:ascii="Times New Roman" w:hAnsi="Times New Roman"/>
          <w:lang w:eastAsia="en-US"/>
        </w:rPr>
      </w:pPr>
      <w:r>
        <w:rPr>
          <w:rFonts w:ascii="Times New Roman" w:hAnsi="Times New Roman"/>
          <w:bCs/>
          <w:spacing w:val="-3"/>
        </w:rPr>
        <w:t xml:space="preserve">   </w:t>
      </w:r>
      <w:r>
        <w:rPr>
          <w:rFonts w:ascii="Times New Roman" w:hAnsi="Times New Roman"/>
          <w:lang w:eastAsia="en-US"/>
        </w:rPr>
        <w:t>Ett sätt att beskriva en del av taktikspelet är att se det som en serie utmaningar och svar på dessa utmaningar. Utmaningen och svaret på den kan ha som syfte att rucka på förhandlingens positioner; att driva på förhandlingen; eller att fördröja den – allt beroende på vem som agerar. Hot om konfliktåtgärder är ett exempel på en utmaning, som visar vad som kan inträffa om parterna inte kommer överens. En annan utmaning kan vara att förhålla sig på ett särskilt sätt till förhandlingens regelverk, till exempel genom att antingen följa regelverket väldigt strikt eller tvärtom töja på reglerna.</w:t>
      </w:r>
      <w:r>
        <w:rPr>
          <w:rStyle w:val="Fotnotsreferens"/>
          <w:rFonts w:ascii="Times New Roman" w:hAnsi="Times New Roman"/>
          <w:lang w:eastAsia="en-US"/>
        </w:rPr>
        <w:footnoteReference w:id="22"/>
      </w:r>
      <w:r>
        <w:rPr>
          <w:rFonts w:ascii="Times New Roman" w:hAnsi="Times New Roman"/>
          <w:lang w:eastAsia="en-US"/>
        </w:rPr>
        <w:t xml:space="preserve"> Om man ser taktikspelet som en fråga om utmaningar och svar på utmaningar – stötar och motstötar – kan sociologen och antropologen Pierre Bourdieus klassiska studie om hedersbegreppet vara användbar. Bourdieu fann att utmaningar kräver ett lämpligt svar – ett svar som varken är för svagt eller för starkt, utan är avpassat efter utmaningen. Därför bör reciprociteten vara central i samband med användningen av hot.</w:t>
      </w:r>
      <w:r>
        <w:rPr>
          <w:rStyle w:val="Fotnotsreferens"/>
          <w:rFonts w:ascii="Times New Roman" w:hAnsi="Times New Roman"/>
          <w:lang w:eastAsia="en-US"/>
        </w:rPr>
        <w:footnoteReference w:id="23"/>
      </w:r>
      <w:r>
        <w:rPr>
          <w:rFonts w:ascii="Times New Roman" w:hAnsi="Times New Roman"/>
          <w:lang w:eastAsia="en-US"/>
        </w:rPr>
        <w:t xml:space="preserve"> Svaret på hot är inte enbart ett svar på en utmaning, utan det är också nödvändigt att hotnivån ligger på en trovärdig och realistisk nivå i förhållande till förhandlingens förutsättningar. Om man i en facklig förhandling ska förhandla om reglerna i ett lokalt avtal, går det inte att hota med en nationell storkonflikt. </w:t>
      </w:r>
      <w:r>
        <w:rPr>
          <w:rFonts w:ascii="Times New Roman" w:hAnsi="Times New Roman"/>
          <w:bCs/>
          <w:spacing w:val="-3"/>
        </w:rPr>
        <w:t>Man bör alltså inte hota med konfliktåtgärder, som är alltför små eller tvärtom alltför omfattande.</w:t>
      </w:r>
      <w:r>
        <w:rPr>
          <w:rFonts w:ascii="Times New Roman" w:hAnsi="Times New Roman"/>
          <w:lang w:eastAsia="en-US"/>
        </w:rPr>
        <w:t xml:space="preserve"> Hotet ska avskräcka och skapa förutsättningar för att motparten ska vara inriktad på att nå en acceptabel förhandlingsöverenskommelse. Hotet ska inte heller leda till att motparten i förebyggande syfte själv vidtar konfliktåtgärder. Som Ellingsen och Weibull betonar kan det på sikt vara förödande om en part agerar alltför aggressivt, eftersom det kan få långsiktiga konsekvenser för tilliten.</w:t>
      </w:r>
      <w:r>
        <w:rPr>
          <w:rStyle w:val="Fotnotsreferens"/>
          <w:rFonts w:ascii="Times New Roman" w:hAnsi="Times New Roman"/>
          <w:lang w:eastAsia="en-US"/>
        </w:rPr>
        <w:footnoteReference w:id="24"/>
      </w:r>
      <w:r>
        <w:rPr>
          <w:rFonts w:ascii="Times New Roman" w:hAnsi="Times New Roman"/>
          <w:lang w:eastAsia="en-US"/>
        </w:rPr>
        <w:t xml:space="preserve"> Osäkerheten i förhandlingssituationen kan alltså både vara en tillgång och ett problem. Därför kan ett taktiskt moment vara att kontrollera informationsflödet och begränsa motpartens information.</w:t>
      </w:r>
      <w:r>
        <w:rPr>
          <w:rStyle w:val="Fotnotsreferens"/>
          <w:rFonts w:ascii="Times New Roman" w:hAnsi="Times New Roman"/>
          <w:lang w:eastAsia="en-US"/>
        </w:rPr>
        <w:footnoteReference w:id="25"/>
      </w:r>
    </w:p>
    <w:p w14:paraId="3105B084" w14:textId="77777777" w:rsidR="004850E7" w:rsidRDefault="004850E7">
      <w:pPr>
        <w:widowControl/>
        <w:spacing w:line="360" w:lineRule="auto"/>
        <w:jc w:val="both"/>
        <w:rPr>
          <w:rFonts w:ascii="Times New Roman" w:hAnsi="Times New Roman"/>
          <w:lang w:eastAsia="en-US"/>
        </w:rPr>
      </w:pPr>
      <w:r>
        <w:rPr>
          <w:rFonts w:ascii="Times New Roman" w:hAnsi="Times New Roman"/>
          <w:lang w:eastAsia="en-US"/>
        </w:rPr>
        <w:t xml:space="preserve">  Spelteoretikern Robert Axelrod menar att en part inte får vara alltför girig och vinstmaximerande. Följden av ett sådant handlande är att förutsättningarna blir sämre, om man vill nå en förhandlingsöverenskommelse, som baseras på att båda parter ingår en kompromiss. Även här gäller en sorts reciprocitet. Axelrod menar dessutom att spelets förutsättningar medför att det lönar sig att vara tillmötesgående och söka nå en överenskommelse, men det är också nödvändigt att på ett lämpligt sätt svara på utmaningar.</w:t>
      </w:r>
      <w:r>
        <w:rPr>
          <w:rStyle w:val="Fotnotsreferens"/>
          <w:rFonts w:ascii="Times New Roman" w:hAnsi="Times New Roman"/>
          <w:lang w:eastAsia="en-US"/>
        </w:rPr>
        <w:footnoteReference w:id="26"/>
      </w:r>
    </w:p>
    <w:p w14:paraId="42518AC0" w14:textId="77777777" w:rsidR="004850E7" w:rsidRDefault="004850E7">
      <w:pPr>
        <w:suppressAutoHyphens/>
        <w:spacing w:line="360" w:lineRule="auto"/>
        <w:jc w:val="both"/>
        <w:rPr>
          <w:rFonts w:ascii="Times New Roman" w:hAnsi="Times New Roman"/>
          <w:bCs/>
          <w:spacing w:val="-3"/>
        </w:rPr>
      </w:pPr>
      <w:r>
        <w:rPr>
          <w:rFonts w:ascii="Times New Roman" w:hAnsi="Times New Roman"/>
          <w:lang w:eastAsia="en-US"/>
        </w:rPr>
        <w:t xml:space="preserve">   Taktikspelet visar att intressekonflikten utgör en central förutsättning för förhandlingen. Den klargör </w:t>
      </w:r>
      <w:r>
        <w:rPr>
          <w:rFonts w:ascii="Times New Roman" w:hAnsi="Times New Roman"/>
          <w:bCs/>
          <w:spacing w:val="-3"/>
        </w:rPr>
        <w:t>parternas förhandlingspositioner, och därmed villkoren för hur man ska kunna gå vidare, för att nå ett avslut och vad som kan hända om konflikten inte löses. På så sätt kan man säga att förhandlingen styrs av ”rädslans regim”, där man hellre gör upp än tar en konflikt där villkoren inte går att kalkylera. Trots detta väljer man inte ett koordinationsspel, eftersom en sådan strävan efter förhandlingslösning kan leda till alltför otillfredsställande resultat. Detta resonemang leder vidare till att kombinationen av tillit och rädslan inför framtiden är utgångspunkter för skapandet av och vidmakthållandet av en förhandlingskultur, vilket i sin tur leder vidare till den något paradoxala slutsatsen att rädslan driver på framväxten av kalkylerbara förhållanden och tillitsskapande mekanismer.</w:t>
      </w:r>
      <w:r>
        <w:rPr>
          <w:rStyle w:val="Fotnotsreferens"/>
          <w:rFonts w:ascii="Times New Roman" w:hAnsi="Times New Roman"/>
          <w:bCs/>
          <w:spacing w:val="-3"/>
        </w:rPr>
        <w:footnoteReference w:id="27"/>
      </w:r>
      <w:r>
        <w:rPr>
          <w:rFonts w:ascii="Times New Roman" w:hAnsi="Times New Roman"/>
          <w:bCs/>
          <w:spacing w:val="-3"/>
        </w:rPr>
        <w:t xml:space="preserve"> </w:t>
      </w:r>
    </w:p>
    <w:p w14:paraId="4D44B693" w14:textId="77777777" w:rsidR="004850E7" w:rsidRDefault="004850E7">
      <w:pPr>
        <w:suppressAutoHyphens/>
        <w:spacing w:line="360" w:lineRule="auto"/>
        <w:jc w:val="both"/>
        <w:rPr>
          <w:rFonts w:ascii="Times New Roman" w:hAnsi="Times New Roman"/>
          <w:bCs/>
          <w:spacing w:val="-3"/>
        </w:rPr>
      </w:pPr>
      <w:r>
        <w:rPr>
          <w:rFonts w:ascii="Times New Roman" w:hAnsi="Times New Roman"/>
          <w:lang w:eastAsia="en-US"/>
        </w:rPr>
        <w:t xml:space="preserve">   Spelteori kan vara användbar för att diskutera taktikspelet, men teorin har begränsningar. Den bygger på att aktörerna alltid agerar rationellt och vinstmaximerande på en liberal marknad där alla har samma teoretiska förutsättningar. Denna nationalekonomiska dröm har tydliga begränsningar, eftersom marknaden knappast ser ut på det sättet. Förhandlingssituationen definieras och struktureras av aktörernas inbördes maktrelationer. Det medför att aktörerna inte har samma förutsättningar. Man kan inte heller förvänta sig att de alltid agerar på det teoretiskt sett mest rationella sättet. </w:t>
      </w:r>
    </w:p>
    <w:p w14:paraId="601D0289"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Det ovanstående leder vidare till några frågor: </w:t>
      </w:r>
      <w:r>
        <w:rPr>
          <w:rFonts w:ascii="Times New Roman" w:hAnsi="Times New Roman"/>
          <w:spacing w:val="-3"/>
        </w:rPr>
        <w:t>Fanns det en historisk kontext som betonade att konflikter skulle lösas? Eller saknades sådana konfliktlösningsmekanismer? Vilken samhällelig roll hade konfliktlösningsmekanismerna? Och hur såg dessa konfliktlösningsmekanismer ut? Befordrade de skapande av tillit?</w:t>
      </w:r>
    </w:p>
    <w:p w14:paraId="53F73981" w14:textId="77777777" w:rsidR="004850E7" w:rsidRDefault="004850E7">
      <w:pPr>
        <w:suppressAutoHyphens/>
        <w:spacing w:line="360" w:lineRule="auto"/>
        <w:jc w:val="both"/>
        <w:rPr>
          <w:rFonts w:ascii="Times New Roman" w:hAnsi="Times New Roman"/>
          <w:spacing w:val="-3"/>
        </w:rPr>
      </w:pPr>
    </w:p>
    <w:p w14:paraId="4E65EDBE" w14:textId="77777777" w:rsidR="004850E7" w:rsidRDefault="004850E7">
      <w:pPr>
        <w:suppressAutoHyphens/>
        <w:spacing w:line="360" w:lineRule="auto"/>
        <w:jc w:val="both"/>
        <w:rPr>
          <w:rFonts w:ascii="Times New Roman" w:hAnsi="Times New Roman"/>
          <w:b/>
          <w:spacing w:val="-3"/>
          <w:sz w:val="32"/>
          <w:szCs w:val="32"/>
        </w:rPr>
      </w:pPr>
      <w:r>
        <w:rPr>
          <w:rFonts w:ascii="Times New Roman" w:hAnsi="Times New Roman"/>
          <w:b/>
          <w:spacing w:val="-3"/>
          <w:sz w:val="32"/>
          <w:szCs w:val="32"/>
        </w:rPr>
        <w:t>Den moderna förhandlingskulturens framväxt</w:t>
      </w:r>
    </w:p>
    <w:p w14:paraId="375E70BC"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Nu ska jag kortfattat pröva om det teoretiska perspektivet på förhandlingar kan vara användbart i en studie av fackföreningsrörelsen i industri- och arbetarstaden Norrköping. När folkrörelserna växte fram under den senare delen av 1800-talet utformade de konfliktlösningsmekanismer, som baserades på skötsamhetsprojektet, vilket med olika accenter utgick från att medlemmarna skulle handla skötsamt individuellt och kollektivt. Skötsamheten tog avstamp i upplysningstidens ideal, som rationalitet, kalkylerbarhet, långsiktighet, förnuftstro, kunskap och ansvarstagande. Med hjälp av dessa ideal fostrade folkrörelseaktivisterna medlemmarna i skötsamma beteendenormer, utbildade medlemmarna i föreningsteknik och bildade medlemmarna i den kunskap som de ansågs behöva, för att bli demokratiskt kompetenta. Man sökte lösa konflikter på ett värderingsfritt sätt och argumentera sakligt och behärskat, utan att brusa upp. Känsloutbrott uppfattades som oförnuftiga. Med kunskap och bildning skulle man bygga det nya samhället. Betoningen av långsiktighet medförde att ordhållighet var en central fråga. Ingångna avtal skulle hållas.</w:t>
      </w:r>
      <w:r>
        <w:rPr>
          <w:rStyle w:val="Fotnotsreferens"/>
          <w:rFonts w:ascii="Times New Roman" w:hAnsi="Times New Roman"/>
          <w:bCs/>
          <w:spacing w:val="-3"/>
        </w:rPr>
        <w:footnoteReference w:id="28"/>
      </w:r>
      <w:r>
        <w:rPr>
          <w:rFonts w:ascii="Times New Roman" w:hAnsi="Times New Roman"/>
          <w:bCs/>
          <w:spacing w:val="-3"/>
        </w:rPr>
        <w:t xml:space="preserve"> Som synes passade skötsamhetsprojektets kulturella förutsättningar mycket väl in den ovan skisserade idealtypen av hur den rationella institutionella förhandlingen kunde gå till – där parterna utifrån sina olika intressen och positioner sökte göra förnuftiga överenskommelser. </w:t>
      </w:r>
    </w:p>
    <w:p w14:paraId="3D17A68D" w14:textId="77777777" w:rsidR="004850E7" w:rsidRDefault="004850E7">
      <w:pPr>
        <w:pStyle w:val="Brdtext2"/>
        <w:rPr>
          <w:bCs/>
          <w:spacing w:val="-3"/>
        </w:rPr>
      </w:pPr>
      <w:r>
        <w:rPr>
          <w:bCs/>
          <w:spacing w:val="-3"/>
        </w:rPr>
        <w:t xml:space="preserve">   I Norrköping utformades en sådan skötsamhetsbaserad förhandlingskultur, som användes inom de fackliga organisationerna och mellan de fackliga organisationernas företrädare och arbetsgivarparten. Under pionjäråren i slutet av 1800-talet och i början av 1900-talet spelade medlemsfostran stor roll. Målet var att skapa förutsättningar för rationella diskussioner, som kunde leda fram till förnuftiga beslut. När väl sådana förutsättningar var utvecklade syftade mötesförhandlingarna till att lösa konflikterna med hjälp av rationell kommunikation. Därför kunde överläggningarna ta tid och leda till omfattande diskussioner där man förhandlade om mening. Först efter att frågan var noga genomdiskuterad, var man redo att gå till beslut. Helst skulle man då ha kommit fram till en lösning, som meningsmotståndarna kunde acceptera. Om så inte var fallet fattade man ett majoritetsbeslut.</w:t>
      </w:r>
    </w:p>
    <w:p w14:paraId="4F5D4949" w14:textId="77777777" w:rsidR="004850E7" w:rsidRDefault="004850E7">
      <w:pPr>
        <w:pStyle w:val="Brdtext2"/>
      </w:pPr>
      <w:r>
        <w:t xml:space="preserve">   Skötsamhetsprojektet medförde att man strävade efter att skapa en regelstyrd verksamhet, där man helst försökte skapa ett regelverk i förväg, som man kunde utgå från när man fattade konkreta beslut. På så sätt bestämde man i förväg hur man i princip skulle hantera strejkbrytare. På motsvarande sätt diskuterade man sig fram till hur man skulle agera vid arbetsmarknadskonflikter – skulle man förhandla eller strejka? Den senare frågan ställdes på sin spets år 1907, när Textil 2:an hade hamnat i konflikt med arbetsgivarorganisationen Textilföreningen. En strejk hade inletts och nu fanns det två handlingsalternativ. Antingen skulle man omedelbart avsluta strejken, och visa sin goda förhandlingsvilja, eller så skulle man fortsätta strejka, för att pressa fram förhandlingar och ett långsiktigt förbättrat förhandlingsklimat. I det här fallet satte fackföreningen efter ingående diskussioner det kortsiktiga resultatet främst, eftersom strejken endast var ett medel för att nå ett tillfredsställande mål. Därför avbröt man strejken, så att förhandlingar kunde starta.</w:t>
      </w:r>
      <w:r>
        <w:rPr>
          <w:rStyle w:val="Fotnotsreferens"/>
          <w:bCs/>
          <w:spacing w:val="-3"/>
        </w:rPr>
        <w:footnoteReference w:id="29"/>
      </w:r>
      <w:r>
        <w:t xml:space="preserve"> Det kalkylerbara förnuftet styrde det fackliga agerandet på arbetsmarknaden. Bedömningar av konjunkturläget och arbetslös</w:t>
      </w:r>
      <w:r>
        <w:softHyphen/>
        <w:t>hetens omfattning var viktiga argument när man diskuterade förutsättningarna för att använda konfliktvapnen.</w:t>
      </w:r>
      <w:r>
        <w:rPr>
          <w:rStyle w:val="Fotnotsreferens"/>
        </w:rPr>
        <w:footnoteReference w:id="30"/>
      </w:r>
    </w:p>
    <w:p w14:paraId="48D15C19" w14:textId="77777777" w:rsidR="004850E7" w:rsidRDefault="004850E7">
      <w:pPr>
        <w:suppressAutoHyphens/>
        <w:spacing w:line="360" w:lineRule="auto"/>
        <w:jc w:val="both"/>
        <w:rPr>
          <w:rFonts w:ascii="Times New Roman" w:hAnsi="Times New Roman"/>
          <w:bCs/>
          <w:spacing w:val="-3"/>
        </w:rPr>
      </w:pPr>
      <w:r>
        <w:rPr>
          <w:rFonts w:ascii="Times New Roman" w:hAnsi="Times New Roman"/>
        </w:rPr>
        <w:t xml:space="preserve">   Eftersom skötsamhetsprojektet spelade så stor roll för den fackliga rörelsen, låg också dess regler till grund för hur man skulle handla i konkreta mötesförhandlingssituationer. </w:t>
      </w:r>
      <w:r>
        <w:rPr>
          <w:rFonts w:ascii="Times New Roman" w:hAnsi="Times New Roman"/>
          <w:bCs/>
          <w:spacing w:val="-3"/>
        </w:rPr>
        <w:t>År 1899 diskuterade Metall 12:an om avdelningen skulle gå in i det socialdemokratiska partiet. I mötet deltog utöver en stor grupp medlemmar också en utsänd representant för partiet, herr Dahlqvist, som pläderade för anslutning. Diskussionen gick dock inte som Dahlqvist hade förväntat sig, så han brusade upp.</w:t>
      </w:r>
      <w:r>
        <w:rPr>
          <w:rStyle w:val="Fotnotsreferens"/>
          <w:rFonts w:ascii="Times New Roman" w:hAnsi="Times New Roman"/>
          <w:spacing w:val="-3"/>
        </w:rPr>
        <w:footnoteReference w:id="31"/>
      </w:r>
      <w:r>
        <w:rPr>
          <w:rFonts w:ascii="Times New Roman" w:hAnsi="Times New Roman"/>
          <w:bCs/>
          <w:spacing w:val="-3"/>
        </w:rPr>
        <w:t xml:space="preserve"> Genom att bli arg bröt Dahlqvist mot en av reglerna. </w:t>
      </w:r>
    </w:p>
    <w:p w14:paraId="22C6F81C" w14:textId="77777777" w:rsidR="004850E7" w:rsidRDefault="004850E7">
      <w:pPr>
        <w:suppressAutoHyphens/>
        <w:spacing w:line="360" w:lineRule="auto"/>
        <w:jc w:val="both"/>
        <w:rPr>
          <w:rFonts w:ascii="Times New Roman" w:hAnsi="Times New Roman"/>
          <w:bCs/>
          <w:spacing w:val="-3"/>
        </w:rPr>
      </w:pPr>
      <w:r>
        <w:rPr>
          <w:rFonts w:ascii="Times New Roman" w:hAnsi="Times New Roman"/>
          <w:bCs/>
          <w:spacing w:val="-3"/>
        </w:rPr>
        <w:t xml:space="preserve">   Mötesförhandlingarnas institutionalisering skapade en intern förhandlingskultur, som fungerade väl så länge det inte fanns öppna konflikter.</w:t>
      </w:r>
      <w:r>
        <w:rPr>
          <w:rStyle w:val="Fotnotsreferens"/>
          <w:rFonts w:ascii="Times New Roman" w:hAnsi="Times New Roman"/>
          <w:bCs/>
          <w:spacing w:val="-3"/>
        </w:rPr>
        <w:footnoteReference w:id="32"/>
      </w:r>
      <w:r>
        <w:rPr>
          <w:rFonts w:ascii="Times New Roman" w:hAnsi="Times New Roman"/>
          <w:bCs/>
          <w:spacing w:val="-3"/>
        </w:rPr>
        <w:t xml:space="preserve"> Utifrån denna interna kultur utvecklade ledande förtroendevalda och funktionärer ett skötsamt förhållningssätt när de förhandlade med utomstående. Detta präglades av regler som var impregnerat med skötsamhetsprojektets regelverk. År 1922 förhandlade Pappers 53:ans styrelse med Holmens pappersbruk, som representerades av direktör Wahren och </w:t>
      </w:r>
      <w:proofErr w:type="gramStart"/>
      <w:r>
        <w:rPr>
          <w:rFonts w:ascii="Times New Roman" w:hAnsi="Times New Roman"/>
          <w:bCs/>
          <w:spacing w:val="-3"/>
        </w:rPr>
        <w:t>SAFs</w:t>
      </w:r>
      <w:proofErr w:type="gramEnd"/>
      <w:r>
        <w:rPr>
          <w:rFonts w:ascii="Times New Roman" w:hAnsi="Times New Roman"/>
          <w:bCs/>
          <w:spacing w:val="-3"/>
        </w:rPr>
        <w:t xml:space="preserve"> direktör Heyman. Så här minns en tidigare styrelsemedlem i avdelningen denna förhandling:</w:t>
      </w:r>
    </w:p>
    <w:p w14:paraId="46291985" w14:textId="77777777"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Wahren ”</w:t>
      </w:r>
      <w:r>
        <w:rPr>
          <w:rFonts w:ascii="Times New Roman" w:hAnsi="Times New Roman"/>
          <w:i/>
          <w:iCs/>
          <w:spacing w:val="-3"/>
        </w:rPr>
        <w:t xml:space="preserve">höll en storslagen ekonomisk föreläsning om världsläget. … En långvarig debatt följde ledd av Dir. Heyman i </w:t>
      </w:r>
      <w:proofErr w:type="gramStart"/>
      <w:r>
        <w:rPr>
          <w:rFonts w:ascii="Times New Roman" w:hAnsi="Times New Roman"/>
          <w:i/>
          <w:iCs/>
          <w:spacing w:val="-3"/>
        </w:rPr>
        <w:t>Arb.Giv.Före</w:t>
      </w:r>
      <w:proofErr w:type="gramEnd"/>
      <w:r>
        <w:rPr>
          <w:rFonts w:ascii="Times New Roman" w:hAnsi="Times New Roman"/>
          <w:i/>
          <w:iCs/>
          <w:spacing w:val="-3"/>
        </w:rPr>
        <w:t>., avd. 53 representanter hade mest alla ordet o påvisade många fräna sanningar o även lögner, resultat, Wahrens hysteriska ilska utbröt o han fäller sina bevingade ord, han skulle lära sina arb. gå klädda i blåkläder o träskor än en gång. … det föranledde Dir. Heyman tillhandahålla Wahren att nu hade han gått för långt. Efter replik från Wahren o Malmborg reste sig 53ans ledamöter som på givet tecken. Utan någon avslutning på sammanträdet</w:t>
      </w:r>
      <w:r>
        <w:rPr>
          <w:rFonts w:ascii="Times New Roman" w:hAnsi="Times New Roman"/>
          <w:spacing w:val="-3"/>
        </w:rPr>
        <w:t>.”</w:t>
      </w:r>
      <w:r>
        <w:rPr>
          <w:rStyle w:val="Fotnotsreferens"/>
          <w:rFonts w:ascii="Times New Roman" w:hAnsi="Times New Roman"/>
          <w:spacing w:val="-3"/>
          <w:sz w:val="20"/>
        </w:rPr>
        <w:footnoteReference w:id="33"/>
      </w:r>
    </w:p>
    <w:p w14:paraId="31C4EADE" w14:textId="77777777" w:rsidR="004850E7" w:rsidRDefault="004850E7">
      <w:pPr>
        <w:pStyle w:val="Brdtext2"/>
      </w:pPr>
      <w:r>
        <w:rPr>
          <w:spacing w:val="-3"/>
        </w:rPr>
        <w:t xml:space="preserve">   Om nu minnesberättelsen från denna förhandling stämmer, präglades inte denna förhandling helt av skötsamhetsprojektets lugna saklighet. Inte bara arbetarna verkar ha varit alltför utmanande, utan framför allt blev företagets representant arg och bröt därmed med en central förhandlingsregel.</w:t>
      </w:r>
      <w:r>
        <w:t xml:space="preserve"> År 1984 gavs handboken ”</w:t>
      </w:r>
      <w:r>
        <w:rPr>
          <w:i/>
        </w:rPr>
        <w:t>Facklig förhandlare</w:t>
      </w:r>
      <w:r>
        <w:t>” ut. I den pläderade författaren Markku Markström för att förhandlaren måste uppföra sig trovärdigt, det vill säga på ett tillitsfullt sätt; vara lugn och saklig både gentemot motparten och mot medlemmarna; vara kunnig och väcka förtroende. Detta innebar bland annat att det är nödvändigt att kontrollera sina känslor.</w:t>
      </w:r>
      <w:r>
        <w:rPr>
          <w:rStyle w:val="Fotnotsreferens"/>
        </w:rPr>
        <w:footnoteReference w:id="34"/>
      </w:r>
      <w:r>
        <w:t xml:space="preserve"> Dessa dygder var desamma som omhuldades av skötsamhetsprojektets fackliga företrädare.</w:t>
      </w:r>
    </w:p>
    <w:p w14:paraId="6A732189" w14:textId="4C779277" w:rsidR="004850E7" w:rsidRDefault="004850E7">
      <w:pPr>
        <w:suppressAutoHyphens/>
        <w:spacing w:line="360" w:lineRule="auto"/>
        <w:jc w:val="both"/>
        <w:rPr>
          <w:rFonts w:ascii="Times New Roman" w:hAnsi="Times New Roman"/>
        </w:rPr>
      </w:pPr>
      <w:r>
        <w:rPr>
          <w:rFonts w:ascii="Times New Roman" w:hAnsi="Times New Roman"/>
        </w:rPr>
        <w:t xml:space="preserve">   De på skötsamhetsprojektet baserade interna konfliktlösningsmekanismerna, som växte fram under pionjäråren i slutet av 1800-talet och i början av 1900-talet, fungerade väl ända tills det socialdemokratiska partiet år 1917 klövs i ett reformistiskt SAP och ett militant Sveriges socialdemokratiska vänsterparti, vilket några år senare skulle omvandlas till Sveriges kommunistiska parti (SKP). Under den senare delen av 1920-talet uppstod i flera fackavdelningar en öppen konflikt mellan socialdemokrater och kommunister. Denna bilades när </w:t>
      </w:r>
      <w:proofErr w:type="gramStart"/>
      <w:r>
        <w:rPr>
          <w:rFonts w:ascii="Times New Roman" w:hAnsi="Times New Roman"/>
        </w:rPr>
        <w:t>socialdemokraterna</w:t>
      </w:r>
      <w:proofErr w:type="gramEnd"/>
      <w:r>
        <w:rPr>
          <w:rFonts w:ascii="Times New Roman" w:hAnsi="Times New Roman"/>
        </w:rPr>
        <w:t xml:space="preserve"> uppnådde en hegemonisk maktställning inom den största delen av fackföreningsrörelsen. I vissa avdelningar inträffade detta under mellankrigstiden. I flertalet skedde detta först år </w:t>
      </w:r>
      <w:proofErr w:type="gramStart"/>
      <w:r>
        <w:rPr>
          <w:rFonts w:ascii="Times New Roman" w:hAnsi="Times New Roman"/>
        </w:rPr>
        <w:t>1948-49</w:t>
      </w:r>
      <w:proofErr w:type="gramEnd"/>
      <w:r>
        <w:rPr>
          <w:rFonts w:ascii="Times New Roman" w:hAnsi="Times New Roman"/>
        </w:rPr>
        <w:t xml:space="preserve"> i samband med den nationella kampanjen som det socialdemokratiska partiet bedrev tillsammans med de </w:t>
      </w:r>
      <w:r w:rsidR="0055220E">
        <w:rPr>
          <w:rFonts w:ascii="Times New Roman" w:hAnsi="Times New Roman"/>
        </w:rPr>
        <w:t>LO-</w:t>
      </w:r>
      <w:r>
        <w:rPr>
          <w:rFonts w:ascii="Times New Roman" w:hAnsi="Times New Roman"/>
        </w:rPr>
        <w:t>fackliga organisationerna för att marginalisera kommunisterna.</w:t>
      </w:r>
      <w:r>
        <w:rPr>
          <w:rStyle w:val="Fotnotsreferens"/>
          <w:rFonts w:ascii="Times New Roman" w:hAnsi="Times New Roman"/>
        </w:rPr>
        <w:footnoteReference w:id="35"/>
      </w:r>
      <w:r>
        <w:rPr>
          <w:rFonts w:ascii="Times New Roman" w:hAnsi="Times New Roman"/>
        </w:rPr>
        <w:t xml:space="preserve"> Härefter återgick fackföreningarna med vissa undantag till den tidigare typen av beslutsföring. Under 1970-talet försvagades skötsamhetsprojektet. Detta bidrog i sin tur till att förutsättningarna för förhandlingskulturen också försvagades.</w:t>
      </w:r>
      <w:r>
        <w:rPr>
          <w:rStyle w:val="Fotnotsreferens"/>
          <w:rFonts w:ascii="Times New Roman" w:hAnsi="Times New Roman"/>
        </w:rPr>
        <w:footnoteReference w:id="36"/>
      </w:r>
    </w:p>
    <w:p w14:paraId="5DDA6B45" w14:textId="77777777" w:rsidR="004850E7" w:rsidRDefault="004850E7">
      <w:pPr>
        <w:suppressAutoHyphens/>
        <w:spacing w:line="360" w:lineRule="auto"/>
        <w:jc w:val="both"/>
        <w:rPr>
          <w:rFonts w:ascii="Times New Roman" w:hAnsi="Times New Roman"/>
        </w:rPr>
      </w:pPr>
      <w:r>
        <w:rPr>
          <w:rFonts w:ascii="Times New Roman" w:hAnsi="Times New Roman"/>
        </w:rPr>
        <w:t xml:space="preserve">   En följd av konflikterna inom fackföreningsrörelsen var att de som förhandlade med arbetsgivarparten lokalt och nationellt hade ett mer bundet förhandlingsmandat än vad de annars skulle ha. Särskilt i slutet av 1920-talet, i slutet av 1930-talet och åren </w:t>
      </w:r>
      <w:proofErr w:type="gramStart"/>
      <w:r>
        <w:rPr>
          <w:rFonts w:ascii="Times New Roman" w:hAnsi="Times New Roman"/>
        </w:rPr>
        <w:t>1944-46</w:t>
      </w:r>
      <w:proofErr w:type="gramEnd"/>
      <w:r>
        <w:rPr>
          <w:rFonts w:ascii="Times New Roman" w:hAnsi="Times New Roman"/>
        </w:rPr>
        <w:t xml:space="preserve"> kunde den kommunistiska oppositionen bidra till att binda förhandlingsmandaten, medan mandaten var jämförelsevis obundet från och med det sena 1940-talet fram till det tidiga 1970-talet.</w:t>
      </w:r>
      <w:r>
        <w:rPr>
          <w:rStyle w:val="Fotnotsreferens"/>
          <w:rFonts w:ascii="Times New Roman" w:hAnsi="Times New Roman"/>
        </w:rPr>
        <w:footnoteReference w:id="37"/>
      </w:r>
    </w:p>
    <w:p w14:paraId="1F52227D" w14:textId="77777777" w:rsidR="004850E7" w:rsidRDefault="004850E7">
      <w:pPr>
        <w:pStyle w:val="Brdtext2"/>
      </w:pPr>
      <w:r>
        <w:t xml:space="preserve">   Ett par slutsatser som är möjliga att dra är för det första att skötsamhetsprojektet skapade goda förutsättningar för en institutionaliserad förhandlingskultur, eftersom båda parter utgick från regelstyrning, långsiktighet och rationalitet. De skötsamma praktikerna medförde att rörelserna kunde skapa konfliktlösningsmekanismer. Den andra slutsatsen är att när rörelserna så småningom förhandlade med bland annat staten och arbetsgivarna kunde betoningen av rationalitet, förnuft och långsiktighet medföra att dessa förhandlingar fördes på ett tillitsskapande sätt, vilket skapade förutsättningar för att konfliktlösningsmekanismerna kunde institutionaliseras. </w:t>
      </w:r>
    </w:p>
    <w:p w14:paraId="2D01E8E2" w14:textId="77777777" w:rsidR="004850E7" w:rsidRDefault="004850E7">
      <w:pPr>
        <w:tabs>
          <w:tab w:val="left" w:pos="-720"/>
        </w:tabs>
        <w:suppressAutoHyphens/>
        <w:spacing w:line="360" w:lineRule="auto"/>
        <w:jc w:val="both"/>
      </w:pPr>
    </w:p>
    <w:p w14:paraId="3D4FE6EA" w14:textId="77777777" w:rsidR="004850E7" w:rsidRDefault="004850E7">
      <w:pPr>
        <w:suppressAutoHyphens/>
        <w:spacing w:line="360" w:lineRule="auto"/>
        <w:jc w:val="both"/>
        <w:rPr>
          <w:rFonts w:ascii="Times New Roman" w:hAnsi="Times New Roman"/>
          <w:b/>
          <w:spacing w:val="-3"/>
          <w:sz w:val="32"/>
          <w:szCs w:val="32"/>
        </w:rPr>
      </w:pPr>
      <w:r>
        <w:rPr>
          <w:rFonts w:ascii="Times New Roman" w:hAnsi="Times New Roman"/>
          <w:b/>
          <w:spacing w:val="-3"/>
          <w:sz w:val="32"/>
          <w:szCs w:val="32"/>
        </w:rPr>
        <w:t>Arbetsmarknadens förhandlingar</w:t>
      </w:r>
    </w:p>
    <w:p w14:paraId="3D5A7D6B" w14:textId="77777777" w:rsidR="004850E7" w:rsidRDefault="004850E7">
      <w:pPr>
        <w:suppressAutoHyphens/>
        <w:spacing w:line="360" w:lineRule="auto"/>
        <w:jc w:val="both"/>
        <w:rPr>
          <w:rFonts w:ascii="Times New Roman" w:hAnsi="Times New Roman"/>
          <w:spacing w:val="-3"/>
        </w:rPr>
      </w:pPr>
      <w:r>
        <w:rPr>
          <w:rFonts w:ascii="Times New Roman" w:hAnsi="Times New Roman"/>
          <w:bCs/>
          <w:spacing w:val="-3"/>
        </w:rPr>
        <w:t>Skötsamhetsprojektet var en betydelsefull förutsättning för förhandlingskulturen. Hur såg då förhandlingskulturen ut konkret på arbetsmarknaden? Dessa förhandlingar sköttes av fackföreningsrörelsens funktionärer och ledande förtroendevalda. Som svar på arbetarnas fackliga organisering gick även arbetsgivarna samman i branschförbund, som Verkstads- och Textilföreningarna samt i centralorganisationen SAF. Det fanns flera skäl till arbetsgivarnas organisering. En var att det blev möjligt för dem att agera som ett organiserat kollektiv. Därmed förstärktes deras maktställning på arbetsmarknaden.</w:t>
      </w:r>
      <w:r>
        <w:rPr>
          <w:rStyle w:val="Fotnotsreferens"/>
          <w:rFonts w:ascii="Times New Roman" w:hAnsi="Times New Roman"/>
          <w:bCs/>
          <w:spacing w:val="-3"/>
        </w:rPr>
        <w:footnoteReference w:id="38"/>
      </w:r>
      <w:r>
        <w:rPr>
          <w:rFonts w:ascii="Times New Roman" w:hAnsi="Times New Roman"/>
          <w:bCs/>
          <w:spacing w:val="-3"/>
        </w:rPr>
        <w:t xml:space="preserve">  Ett annat skäl var att de därmed också kunde agera som lönebildande karteller. Som historikern Klas Åmark betonar innebar detta att det var nödvändigt även för de organiserade arbetsgivarna att hålla ordning på de odisciplinerade arbetsgivarna. Avtalssystemets framväxt medförde att båda parter hade intresse av att agera på ett rationellt och långsiktigt sätt. Nu blev det därför möjligt för två välorganiserade parter på arbetsmarknaden att lösa sina konflikter via förhandlingar. Tillsammans skulle de utveckla sin förhandlingskompetens, så att arbetsmarknaden efter hand präglades av en lokal och nationell förhandlingskultur. Denna process tog </w:t>
      </w:r>
      <w:r>
        <w:rPr>
          <w:rFonts w:ascii="Times New Roman" w:hAnsi="Times New Roman"/>
          <w:spacing w:val="-3"/>
        </w:rPr>
        <w:t>emellertid lång tid.</w:t>
      </w:r>
      <w:r>
        <w:rPr>
          <w:rStyle w:val="Fotnotsreferens"/>
          <w:rFonts w:ascii="Times New Roman" w:hAnsi="Times New Roman"/>
          <w:bCs/>
          <w:spacing w:val="-3"/>
        </w:rPr>
        <w:footnoteReference w:id="39"/>
      </w:r>
    </w:p>
    <w:p w14:paraId="538A469D" w14:textId="77777777"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Förhandlingarna i samhället och på arbetsmarknaden var till en början icke-institutionella. Under den andra hälften av 1800-talet var det vanligt att missnöjda arbetare och andra folkliga grupper samlades utanför borgmästarens bostad, för att i samband med livsmedelsbrist och/eller kraftiga prishöjningar på livsmedel, begära att denne skulle återställa ”den goda ordningen”.</w:t>
      </w:r>
      <w:r>
        <w:rPr>
          <w:rStyle w:val="Fotnotsreferens"/>
          <w:rFonts w:ascii="Times New Roman" w:hAnsi="Times New Roman"/>
          <w:spacing w:val="-3"/>
        </w:rPr>
        <w:footnoteReference w:id="40"/>
      </w:r>
      <w:r>
        <w:rPr>
          <w:rFonts w:ascii="Times New Roman" w:hAnsi="Times New Roman"/>
          <w:spacing w:val="-3"/>
        </w:rPr>
        <w:t xml:space="preserve"> Liknande förhandlingar genomförde i mitten och slutet av 1800-talet av missnöjda industriarbetare, som kollektivt ville tala med sin företagsledare. Också i detta fall gällde det att denne skulle återställa ”den goda ordningen”. Den 2 april år 1890 lämnade mellan 500 och 600 bomullsväverskor vid Norrköpings Bomullsväfveriaktiebolag sina vävstolar och samlades på fabriksgården efter att företaget i praktiken hade sänkt lönerna. Enligt uppgifter i tidningen Östgöten var detta en accepterad protest- och förhandlingsform, som kvinnorna hade använt tidigare. Därför kan man säga att väverskorna inledde en för-institutionaliserad form av förhandling. Denna gång gick emellertid företaget inte med på väverskornas krav. Därför gick de ut i strejk.</w:t>
      </w:r>
      <w:r>
        <w:rPr>
          <w:rStyle w:val="Fotnotsreferens"/>
          <w:rFonts w:ascii="Times New Roman" w:hAnsi="Times New Roman"/>
          <w:spacing w:val="-3"/>
        </w:rPr>
        <w:footnoteReference w:id="41"/>
      </w:r>
    </w:p>
    <w:p w14:paraId="7AC3DF94" w14:textId="77777777"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Historikern Ingemar Johansson menar att denna typ av för-institutionella förhandlingar var vanliga i slutet av 1800-talet. I samband med bomullsväverskornas strejk – och vid en del andra konflikter – tog den fackliga organisationen över ledningen av strejken och förhandlingarna. Därmed förändrades konflikten och förhandlingarnas förutsättningar. De fackliga kraven förändrades från att försvara ”den goda ordningen”, till att röra offensiva förhandlingskrav. Det berodde på att den fackliga organiseringen förändrade maktrelationerna, vilket påverkade förhandlingsspelets förutsättningar. Vid detta tillfälle lyckades den fackliga organisationen förhandla fram en kompromiss som arbetarsidan såg som en seger.</w:t>
      </w:r>
      <w:r>
        <w:rPr>
          <w:rStyle w:val="Fotnotsreferens"/>
          <w:rFonts w:ascii="Times New Roman" w:hAnsi="Times New Roman"/>
          <w:spacing w:val="-3"/>
        </w:rPr>
        <w:footnoteReference w:id="42"/>
      </w:r>
      <w:r>
        <w:rPr>
          <w:rFonts w:ascii="Times New Roman" w:hAnsi="Times New Roman"/>
          <w:spacing w:val="-3"/>
        </w:rPr>
        <w:t xml:space="preserve"> Vid andra tillfällen misslyckades de fackliga organisationerna med att nå godtagbara resultat. En anledning till det var att de auktoritärt patriarkaliska företagarna var så negativt inställda till att förhandla med de fackliga företrädarna. Det berodde på att patriarkerna menade att fackets företrädare stod emellan dem och ”deras arbetare”. Därför reste dessa företagare borst, när arbetarnas fackliga ombud sökte förhandla som representanter för arbetarkollektivet. Det krävdes en makt- och värderingsförskjutning för att de fackliga företrädarna skulle respekteras som förhandlingspart. I slutet av 1800-talet och under 1900-talets första decennium förekom en hel del föreningsrättsstrider, eftersom många företagare var negativt inställda till de fackliga organisationerna.</w:t>
      </w:r>
      <w:r>
        <w:rPr>
          <w:rStyle w:val="Fotnotsreferens"/>
          <w:rFonts w:ascii="Times New Roman" w:hAnsi="Times New Roman"/>
          <w:spacing w:val="-3"/>
        </w:rPr>
        <w:footnoteReference w:id="43"/>
      </w:r>
    </w:p>
    <w:p w14:paraId="47653C35" w14:textId="77777777"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Arbetarna och de fackliga organisationerna använde strejkvapnet av flera skäl. För det första ville </w:t>
      </w:r>
      <w:r w:rsidR="009E7B48">
        <w:rPr>
          <w:rFonts w:ascii="Times New Roman" w:hAnsi="Times New Roman"/>
          <w:spacing w:val="-3"/>
        </w:rPr>
        <w:t>de</w:t>
      </w:r>
      <w:r>
        <w:rPr>
          <w:rFonts w:ascii="Times New Roman" w:hAnsi="Times New Roman"/>
          <w:spacing w:val="-3"/>
        </w:rPr>
        <w:t xml:space="preserve"> förstås förändra löne- och arbetsvillkoren; för det andra försökte </w:t>
      </w:r>
      <w:r w:rsidR="009E7B48">
        <w:rPr>
          <w:rFonts w:ascii="Times New Roman" w:hAnsi="Times New Roman"/>
          <w:spacing w:val="-3"/>
        </w:rPr>
        <w:t>de</w:t>
      </w:r>
      <w:r>
        <w:rPr>
          <w:rFonts w:ascii="Times New Roman" w:hAnsi="Times New Roman"/>
          <w:spacing w:val="-3"/>
        </w:rPr>
        <w:t xml:space="preserve"> få arbetsgivarna att acceptera den fackliga förhandlingsrätten; och när denna väl var erövrad, för det tredje, använde </w:t>
      </w:r>
      <w:r w:rsidR="009E7B48">
        <w:rPr>
          <w:rFonts w:ascii="Times New Roman" w:hAnsi="Times New Roman"/>
          <w:spacing w:val="-3"/>
        </w:rPr>
        <w:t>de</w:t>
      </w:r>
      <w:r>
        <w:rPr>
          <w:rFonts w:ascii="Times New Roman" w:hAnsi="Times New Roman"/>
          <w:spacing w:val="-3"/>
        </w:rPr>
        <w:t xml:space="preserve"> strejkvapnet när så behövdes för att tvinga arbetsgivarna till förhandlingsbordet, genom att visa att konflikthoten var reella. Det var emellertid inget självändamål att strejka. De fackliga organisationerna uppfattade strejken som ett nödvändigt ont, när förhandlingsmöjligheterna var uttömda. Det var bättre att hota med strejk än att använda strejkvapnet. Samtidigt som konflikterna organiserades institutionaliserades förhandlingarna. Om förhandlingarna resulterade i ett formellt avtal innebar det att parterna erkände varandra, vilket skapade kalkylerbara relationer i framtiden och medförde att det på sikt blev möjligt att vidareutveckla förhandlingsinstitutet.</w:t>
      </w:r>
      <w:r>
        <w:rPr>
          <w:rStyle w:val="Fotnotsreferens"/>
          <w:rFonts w:ascii="Times New Roman" w:hAnsi="Times New Roman"/>
          <w:spacing w:val="-3"/>
        </w:rPr>
        <w:footnoteReference w:id="44"/>
      </w:r>
      <w:r>
        <w:rPr>
          <w:rFonts w:ascii="Times New Roman" w:hAnsi="Times New Roman"/>
          <w:spacing w:val="-3"/>
        </w:rPr>
        <w:t xml:space="preserve"> </w:t>
      </w:r>
    </w:p>
    <w:p w14:paraId="11C39872" w14:textId="77777777"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På nationell nivå förändrades förutsättningarna av de första kollektiv- och riksavtalen samt av decemberöverenskommelsen år 1906 mellan LO och SAF, då SAF erkände </w:t>
      </w:r>
      <w:proofErr w:type="gramStart"/>
      <w:r>
        <w:rPr>
          <w:rFonts w:ascii="Times New Roman" w:hAnsi="Times New Roman"/>
          <w:spacing w:val="-3"/>
        </w:rPr>
        <w:t>LOs</w:t>
      </w:r>
      <w:proofErr w:type="gramEnd"/>
      <w:r>
        <w:rPr>
          <w:rFonts w:ascii="Times New Roman" w:hAnsi="Times New Roman"/>
          <w:spacing w:val="-3"/>
        </w:rPr>
        <w:t xml:space="preserve"> föreningsrätt, medan LO erkände arbetsgivarnas rätt att leda och fördela arbetet. Hädanefter såg den nationella arbetsgivarorganisationen de LO-organiserade fackföreningarna som en möjlig förhandlingspartner – samtidigt som regeln om att arbetsgivarnas rätt att leda och fördela arbetet skrevs in i kollektivavtalen.</w:t>
      </w:r>
      <w:r>
        <w:rPr>
          <w:rStyle w:val="Fotnotsreferens"/>
          <w:rFonts w:ascii="Times New Roman" w:hAnsi="Times New Roman"/>
          <w:spacing w:val="-3"/>
        </w:rPr>
        <w:footnoteReference w:id="45"/>
      </w:r>
    </w:p>
    <w:p w14:paraId="17BC0311" w14:textId="632A7432" w:rsidR="004850E7" w:rsidRDefault="004850E7">
      <w:pPr>
        <w:suppressAutoHyphens/>
        <w:spacing w:line="360" w:lineRule="auto"/>
        <w:jc w:val="both"/>
        <w:rPr>
          <w:rFonts w:ascii="Times New Roman" w:hAnsi="Times New Roman"/>
        </w:rPr>
      </w:pPr>
      <w:r>
        <w:rPr>
          <w:rFonts w:ascii="Times New Roman" w:hAnsi="Times New Roman"/>
          <w:spacing w:val="-3"/>
        </w:rPr>
        <w:t xml:space="preserve">   Erkännandet av den fackliga förhandlingsrätten medförde att det blev möjligt att teckna nationella riksavtal, som gällde hela eller stora delar av en bransch. </w:t>
      </w:r>
      <w:r>
        <w:rPr>
          <w:rFonts w:ascii="Times New Roman" w:hAnsi="Times New Roman"/>
        </w:rPr>
        <w:t xml:space="preserve">Det första riksavtalet var Verkstadsavtalet som slöts 1905. På grund av tidigare konflikter använde Verkstadsföreningen (VF) avtalet till att skapa mer långvarig arbetsfred med hjälp av förhandlingslösningar. Man pläderade även för att medling skulle bli en del av förhandlingsprocessen. </w:t>
      </w:r>
      <w:r w:rsidR="00FB76F8">
        <w:rPr>
          <w:rFonts w:ascii="Times New Roman" w:hAnsi="Times New Roman"/>
        </w:rPr>
        <w:t>Ett skiljedomsförfarande var nödvändigt o</w:t>
      </w:r>
      <w:r>
        <w:rPr>
          <w:rFonts w:ascii="Times New Roman" w:hAnsi="Times New Roman"/>
        </w:rPr>
        <w:t xml:space="preserve">m parterna trots detta misslyckades </w:t>
      </w:r>
      <w:r w:rsidR="00FB76F8">
        <w:rPr>
          <w:rFonts w:ascii="Times New Roman" w:hAnsi="Times New Roman"/>
        </w:rPr>
        <w:t xml:space="preserve">att </w:t>
      </w:r>
      <w:r>
        <w:rPr>
          <w:rFonts w:ascii="Times New Roman" w:hAnsi="Times New Roman"/>
        </w:rPr>
        <w:t>komma överens. Dessa beståndsdelar skrevs in i Verkstadsavtalet. Ekonomhistorikern Christer Lundh menar att detta riksavtal fick ”</w:t>
      </w:r>
      <w:r>
        <w:rPr>
          <w:rFonts w:ascii="Times New Roman" w:hAnsi="Times New Roman"/>
          <w:i/>
        </w:rPr>
        <w:t>stor principiell betydelse för kollektivavtalssystemets genombrott och markerade en vändpunkt i attityderna hos storindustrins arbetsgivare</w:t>
      </w:r>
      <w:r>
        <w:rPr>
          <w:rFonts w:ascii="Times New Roman" w:hAnsi="Times New Roman"/>
        </w:rPr>
        <w:t>.”</w:t>
      </w:r>
      <w:r>
        <w:rPr>
          <w:rStyle w:val="Fotnotsreferens"/>
          <w:rFonts w:ascii="Times New Roman" w:hAnsi="Times New Roman"/>
        </w:rPr>
        <w:footnoteReference w:id="46"/>
      </w:r>
      <w:r>
        <w:rPr>
          <w:rFonts w:ascii="Times New Roman" w:hAnsi="Times New Roman"/>
        </w:rPr>
        <w:t xml:space="preserve"> Utöver en reglering av löner och anställningsvillkor innehöll de lokala kollektivavtalen och riksavtalen också en förhandlingsordning. Denna kunde se lite olika ut och vara mer eller mindre utvecklad. Här reglerades avtalstidens längd; hur och när man kunde säga upp avtalet; hur man skulle förhandla fram ett nytt avtal; samt när och hur man kunde använda stridsmedel. Strejker och lockouter fick endast förekomma efter att avtalsperioden löpt ut.</w:t>
      </w:r>
      <w:r>
        <w:rPr>
          <w:rStyle w:val="Fotnotsreferens"/>
          <w:rFonts w:ascii="Times New Roman" w:hAnsi="Times New Roman"/>
        </w:rPr>
        <w:footnoteReference w:id="47"/>
      </w:r>
    </w:p>
    <w:p w14:paraId="22CE58C0" w14:textId="0EA59D78" w:rsidR="004850E7" w:rsidRDefault="004850E7">
      <w:pPr>
        <w:suppressAutoHyphens/>
        <w:spacing w:line="360" w:lineRule="auto"/>
        <w:jc w:val="both"/>
        <w:rPr>
          <w:rFonts w:ascii="Times New Roman" w:hAnsi="Times New Roman"/>
          <w:spacing w:val="-3"/>
        </w:rPr>
      </w:pPr>
      <w:r>
        <w:rPr>
          <w:rFonts w:ascii="Times New Roman" w:hAnsi="Times New Roman"/>
        </w:rPr>
        <w:t xml:space="preserve">   Sett ur ett nationellt arbetsgivarperspektiv bidrog riksavtalens genombrott till att skapa arbetsfred under avtalsperioden. Dessutom blev det, som </w:t>
      </w:r>
      <w:r w:rsidR="00FB76F8">
        <w:rPr>
          <w:rFonts w:ascii="Times New Roman" w:hAnsi="Times New Roman"/>
        </w:rPr>
        <w:t>jag</w:t>
      </w:r>
      <w:r>
        <w:rPr>
          <w:rFonts w:ascii="Times New Roman" w:hAnsi="Times New Roman"/>
        </w:rPr>
        <w:t xml:space="preserve"> berör ovan, möjligt att skapa arbetsgivarkarteller med enhetliga villkor inom branschen. Därför slog riksavtalsprincipen snart igenom. </w:t>
      </w:r>
      <w:r>
        <w:rPr>
          <w:rFonts w:ascii="Times New Roman" w:hAnsi="Times New Roman"/>
          <w:spacing w:val="-3"/>
        </w:rPr>
        <w:t>Lokalt dröjde det emellertid in på 1920-talet innan många mindre och mellanstora oorganiserade företagare följde efter och godkände den kollektiva avtalsprincipen.</w:t>
      </w:r>
      <w:r>
        <w:rPr>
          <w:rStyle w:val="Fotnotsreferens"/>
          <w:rFonts w:ascii="Times New Roman" w:hAnsi="Times New Roman"/>
          <w:spacing w:val="-3"/>
        </w:rPr>
        <w:footnoteReference w:id="48"/>
      </w:r>
    </w:p>
    <w:p w14:paraId="612F92B8" w14:textId="08E9598E" w:rsidR="004850E7" w:rsidRDefault="004850E7">
      <w:pPr>
        <w:suppressAutoHyphens/>
        <w:spacing w:line="360" w:lineRule="auto"/>
        <w:jc w:val="both"/>
        <w:rPr>
          <w:rFonts w:ascii="Times New Roman" w:hAnsi="Times New Roman"/>
        </w:rPr>
      </w:pPr>
      <w:r>
        <w:rPr>
          <w:rFonts w:ascii="Times New Roman" w:hAnsi="Times New Roman"/>
          <w:spacing w:val="-3"/>
        </w:rPr>
        <w:t xml:space="preserve">   När förenings- och förhandlingsrätten var accepterad även lokalt, skapades förutsättningar för att fackföreningarnas representanter kunde bli förhandlingspartner med arbetsgivarna. Förhandlingsmomentet blev viktigare än tidigare, de föreningsrättsliga striderna minskade och möjligheten att nå kompromisslösningar växte.</w:t>
      </w:r>
      <w:r>
        <w:rPr>
          <w:rStyle w:val="Fotnotsreferens"/>
          <w:rFonts w:ascii="Times New Roman" w:hAnsi="Times New Roman"/>
          <w:spacing w:val="-3"/>
        </w:rPr>
        <w:footnoteReference w:id="49"/>
      </w:r>
      <w:r>
        <w:rPr>
          <w:rFonts w:ascii="Times New Roman" w:hAnsi="Times New Roman"/>
          <w:spacing w:val="-3"/>
        </w:rPr>
        <w:t xml:space="preserve"> En annan följd av det nationella avtalssystemets genombrott var att </w:t>
      </w:r>
      <w:r w:rsidR="00FB76F8">
        <w:rPr>
          <w:rFonts w:ascii="Times New Roman" w:hAnsi="Times New Roman"/>
          <w:spacing w:val="-3"/>
        </w:rPr>
        <w:t xml:space="preserve">en </w:t>
      </w:r>
      <w:r>
        <w:rPr>
          <w:rFonts w:ascii="Times New Roman" w:hAnsi="Times New Roman"/>
          <w:spacing w:val="-3"/>
        </w:rPr>
        <w:t>allt större del av förhandlingarna förflyttades till parternas nationella organisationer, som slöt riksavtalen, vars konsekvenser sedan förhandlades lokalt.</w:t>
      </w:r>
      <w:r>
        <w:rPr>
          <w:rStyle w:val="Fotnotsreferens"/>
          <w:rFonts w:ascii="Times New Roman" w:hAnsi="Times New Roman"/>
        </w:rPr>
        <w:footnoteReference w:id="50"/>
      </w:r>
      <w:r>
        <w:rPr>
          <w:rFonts w:ascii="Times New Roman" w:hAnsi="Times New Roman"/>
        </w:rPr>
        <w:t xml:space="preserve"> Centraliseringen förflyttade makten över spelregler, förhandlingar och avtalsresultat till den nationella nivån. Redan tidigare, i samband med att fackförbunden bildades, hade de nationella organisationerna tagit över konflikträtten från de lokala fackliga organisationerna.</w:t>
      </w:r>
      <w:r>
        <w:rPr>
          <w:rStyle w:val="Fotnotsreferens"/>
          <w:rFonts w:ascii="Times New Roman" w:hAnsi="Times New Roman"/>
        </w:rPr>
        <w:footnoteReference w:id="51"/>
      </w:r>
      <w:r>
        <w:rPr>
          <w:rFonts w:ascii="Times New Roman" w:hAnsi="Times New Roman"/>
        </w:rPr>
        <w:t xml:space="preserve"> Centraliseringsprocessen bejakades av de skötsamma </w:t>
      </w:r>
      <w:proofErr w:type="gramStart"/>
      <w:r>
        <w:rPr>
          <w:rFonts w:ascii="Times New Roman" w:hAnsi="Times New Roman"/>
        </w:rPr>
        <w:t>socialdemokraterna</w:t>
      </w:r>
      <w:proofErr w:type="gramEnd"/>
      <w:r>
        <w:rPr>
          <w:rFonts w:ascii="Times New Roman" w:hAnsi="Times New Roman"/>
        </w:rPr>
        <w:t xml:space="preserve">, men sågs mer negativt av den kommunistiska oppositionen, som strävade efter att använda fackliga konflikter, som vapen i klasskampen. Dessutom försökte de, som jag berör ovan, få ut så mycket som möjligt i varje förhandling. Därför strävade de efter att binda förhandlingsmandaten. </w:t>
      </w:r>
      <w:r>
        <w:rPr>
          <w:rFonts w:ascii="Times New Roman" w:hAnsi="Times New Roman"/>
          <w:spacing w:val="-3"/>
        </w:rPr>
        <w:t>Det slutliga steget i centraliseringsprocessen var att LO och SAF från och med mitten av 1950-talet förhandlade fram nationella ramavtal, som bland annat bestämde löneutrymmet, vilket sedan var föremål för lokala förhandlingar. Den socialdemokratiska hegemonin under denna tid medförde att förhandlarnas mandat då var förhållandevis obundet.</w:t>
      </w:r>
      <w:r>
        <w:rPr>
          <w:rStyle w:val="Fotnotsreferens"/>
          <w:rFonts w:ascii="Times New Roman" w:hAnsi="Times New Roman"/>
          <w:spacing w:val="-3"/>
        </w:rPr>
        <w:footnoteReference w:id="52"/>
      </w:r>
    </w:p>
    <w:p w14:paraId="791C75EE" w14:textId="3F514F5E"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Trots att kollektivavtalssystemet var etablerat i början av 1920-talet </w:t>
      </w:r>
      <w:r w:rsidR="00FB76F8">
        <w:rPr>
          <w:rFonts w:ascii="Times New Roman" w:hAnsi="Times New Roman"/>
          <w:spacing w:val="-3"/>
        </w:rPr>
        <w:t>inträffade</w:t>
      </w:r>
      <w:r>
        <w:rPr>
          <w:rFonts w:ascii="Times New Roman" w:hAnsi="Times New Roman"/>
          <w:spacing w:val="-3"/>
        </w:rPr>
        <w:t xml:space="preserve"> en mängd konflikter under detta årtionde – särskilt sådana som berörde bruksindustrin. De berodde dels på auktoritärt patriarkaliska företag och företagare, som inte erkände de fackliga organisationerna som förhandlingspart, dels på att många av de ålderdomligt drivna gruvorna och järn- och pappersbruken hade svårt att klara av konkurrensen från den moderna industrin. Som en följd av detta sökte arbetsgivarförbunden inom dessa branscher aggressivt anpassa lönenivån till företagens bristande konkurrenskraft, vilket resulterade i en lång rad konflikter och i en konfliktkultur, som det skulle ta lång tid att komma över.</w:t>
      </w:r>
      <w:r>
        <w:rPr>
          <w:rStyle w:val="Fotnotsreferens"/>
          <w:rFonts w:ascii="Times New Roman" w:hAnsi="Times New Roman"/>
          <w:spacing w:val="-3"/>
        </w:rPr>
        <w:footnoteReference w:id="53"/>
      </w:r>
    </w:p>
    <w:p w14:paraId="53E52A8A" w14:textId="6F5CF4E8"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Staten sökte </w:t>
      </w:r>
      <w:proofErr w:type="gramStart"/>
      <w:r w:rsidR="00FB76F8">
        <w:rPr>
          <w:rFonts w:ascii="Times New Roman" w:hAnsi="Times New Roman"/>
          <w:spacing w:val="-3"/>
        </w:rPr>
        <w:t>sänka</w:t>
      </w:r>
      <w:r>
        <w:rPr>
          <w:rFonts w:ascii="Times New Roman" w:hAnsi="Times New Roman"/>
          <w:spacing w:val="-3"/>
        </w:rPr>
        <w:t xml:space="preserve"> konfliktnivån</w:t>
      </w:r>
      <w:proofErr w:type="gramEnd"/>
      <w:r>
        <w:rPr>
          <w:rFonts w:ascii="Times New Roman" w:hAnsi="Times New Roman"/>
          <w:spacing w:val="-3"/>
        </w:rPr>
        <w:t xml:space="preserve"> genom att år 1906 lagstifta om medling vid arbetstvister. Samtidigt byggde man upp Statens förlikningskommission. Lagen var dock tämligen tandlös, eftersom medlingen var frivillig. I en fjärdedel av konflikterna användes förlikningsinstitutionen. År 1920 förstärktes medlingsförfarandet något när en skiljenämnd skapades. Också i detta fall var medlingen frivillig, förutom i de fall då kollektivavtalen stipulerade att man skulle gå till skiljenämnd om man inte kom överens.</w:t>
      </w:r>
      <w:r>
        <w:rPr>
          <w:rStyle w:val="Fotnotsreferens"/>
          <w:rFonts w:ascii="Times New Roman" w:hAnsi="Times New Roman"/>
          <w:spacing w:val="-3"/>
        </w:rPr>
        <w:footnoteReference w:id="54"/>
      </w:r>
      <w:r>
        <w:rPr>
          <w:rFonts w:ascii="Times New Roman" w:hAnsi="Times New Roman"/>
          <w:spacing w:val="-3"/>
        </w:rPr>
        <w:t xml:space="preserve"> 1928 års kollektivavtalslag medförde att en arbetsdomstol infördes. Denna skulle lösa avtalstvister. Dessutom kodifierades de tidigare framförhandlade reglerna, för när man hade rätt att gå ut i konflikt. Bland annat blev det förbjudet att bryta fredsplikten under den tid då avtalet gällde.</w:t>
      </w:r>
      <w:r>
        <w:rPr>
          <w:rStyle w:val="Fotnotsreferens"/>
          <w:rFonts w:ascii="Times New Roman" w:hAnsi="Times New Roman"/>
          <w:spacing w:val="-3"/>
        </w:rPr>
        <w:footnoteReference w:id="55"/>
      </w:r>
    </w:p>
    <w:p w14:paraId="199DCC5F" w14:textId="2C35EB73"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Den höga konfliktnivån medförde vid mitten av 1920-talet att inte bara staten, utan också många företagare och en del arbetarrörelserepresentanter, utifrån framför allt brittiskt mönster (Mond-rörelsen) började diskutera hur man skulle sänka konfliktnivån och skapa varaktiga konfliktlösningsmekanismer. Bland arbetsgivarna började en ny sorts patriarkalism utvecklas. Enligt denna skulle arbetarna uppfostras till att förstå företagens perspektiv. Arbetsgivarna strävade därmed efter konsensuslösningar. I det praktiska arbetet accepterade inte fackföreningsrörelsen denna ståndpunkt, utan betonade i stället förhandlingen som konfliktlösningsmekanism.</w:t>
      </w:r>
      <w:r>
        <w:rPr>
          <w:rStyle w:val="Fotnotsreferens"/>
          <w:rFonts w:ascii="Times New Roman" w:hAnsi="Times New Roman"/>
          <w:spacing w:val="-3"/>
        </w:rPr>
        <w:footnoteReference w:id="56"/>
      </w:r>
      <w:r>
        <w:rPr>
          <w:rFonts w:ascii="Times New Roman" w:hAnsi="Times New Roman"/>
          <w:spacing w:val="-3"/>
        </w:rPr>
        <w:t xml:space="preserve"> Under 1930-talskrisen sjönk konfliktnivån på arbetsmarknaden.</w:t>
      </w:r>
      <w:r>
        <w:rPr>
          <w:rStyle w:val="Fotnotsreferens"/>
          <w:rFonts w:ascii="Times New Roman" w:hAnsi="Times New Roman"/>
          <w:spacing w:val="-3"/>
        </w:rPr>
        <w:footnoteReference w:id="57"/>
      </w:r>
      <w:r>
        <w:rPr>
          <w:rFonts w:ascii="Times New Roman" w:hAnsi="Times New Roman"/>
          <w:spacing w:val="-3"/>
        </w:rPr>
        <w:t xml:space="preserve"> Det berodde på att förutsättningarna att nå framgång med att gå ut i strejk var små vid lågkonjunktur</w:t>
      </w:r>
      <w:r w:rsidR="00FB76F8">
        <w:rPr>
          <w:rFonts w:ascii="Times New Roman" w:hAnsi="Times New Roman"/>
          <w:spacing w:val="-3"/>
        </w:rPr>
        <w:t>er</w:t>
      </w:r>
      <w:r>
        <w:rPr>
          <w:rFonts w:ascii="Times New Roman" w:hAnsi="Times New Roman"/>
          <w:spacing w:val="-3"/>
        </w:rPr>
        <w:t>.</w:t>
      </w:r>
      <w:r>
        <w:rPr>
          <w:rStyle w:val="Fotnotsreferens"/>
          <w:rFonts w:ascii="Times New Roman" w:hAnsi="Times New Roman"/>
          <w:spacing w:val="-3"/>
        </w:rPr>
        <w:footnoteReference w:id="58"/>
      </w:r>
      <w:r>
        <w:rPr>
          <w:rFonts w:ascii="Times New Roman" w:hAnsi="Times New Roman"/>
          <w:spacing w:val="-3"/>
        </w:rPr>
        <w:t xml:space="preserve"> Dessutom skapades under 1930-talet förutsättningar för att varaktigt sänka konfliktnivån på arbetsmarknaden. </w:t>
      </w:r>
    </w:p>
    <w:p w14:paraId="55B622FD" w14:textId="77777777"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I samband med och efter den ekonomiska krisen började en stor del av industrin att rationalisera sin verksamhet, för att höja produktiviteten – vilket på sikt skapade förutsättningar för att höja lönenivån.</w:t>
      </w:r>
      <w:r>
        <w:rPr>
          <w:rStyle w:val="Fotnotsreferens"/>
          <w:rFonts w:ascii="Times New Roman" w:hAnsi="Times New Roman"/>
          <w:spacing w:val="-3"/>
        </w:rPr>
        <w:footnoteReference w:id="59"/>
      </w:r>
      <w:r>
        <w:rPr>
          <w:rFonts w:ascii="Times New Roman" w:hAnsi="Times New Roman"/>
          <w:spacing w:val="-3"/>
        </w:rPr>
        <w:t xml:space="preserve"> Socialdemokraterna vann 1932 års val och kunde året därpå i koalition med Bondeförbundet lägga grunden till ”folkhemmet”, det vill säga fundamentet till välfärdsstaten. Välfärdspolitiken förutsatte för det första att det fanns välfärd att fördela, vilket i sin tur medförde att den ekonomiska tillväxten behövde vara hög, samt för det andra att arbetsmarknadens parter kunde komma överens om hur detta överskott skulle fördelas. Före andra världskriget var tillväxten relativt långsam, men efter kriget startade den snabba ekonomiska utveckling som medförde att ”folkhemmet” kunde byggas.</w:t>
      </w:r>
      <w:r>
        <w:rPr>
          <w:rStyle w:val="Fotnotsreferens"/>
          <w:rFonts w:ascii="Times New Roman" w:hAnsi="Times New Roman"/>
          <w:spacing w:val="-3"/>
        </w:rPr>
        <w:footnoteReference w:id="60"/>
      </w:r>
    </w:p>
    <w:p w14:paraId="476932E1" w14:textId="59B3D439"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Det är i </w:t>
      </w:r>
      <w:r w:rsidR="00FB76F8">
        <w:rPr>
          <w:rFonts w:ascii="Times New Roman" w:hAnsi="Times New Roman"/>
          <w:spacing w:val="-3"/>
        </w:rPr>
        <w:t>ett sådant</w:t>
      </w:r>
      <w:r>
        <w:rPr>
          <w:rFonts w:ascii="Times New Roman" w:hAnsi="Times New Roman"/>
          <w:spacing w:val="-3"/>
        </w:rPr>
        <w:t xml:space="preserve"> perspektiv man bör se 1938 års Saltsjöbadsavtal och dess följdavtal, som framför allt syftade till att förstärka rationaliseringsåtgärderna, men som också stärkte förhandlingskulturen, då avtalet innehöll spelregler för hur man skulle hantera motsättningarna mellan parterna.</w:t>
      </w:r>
      <w:r>
        <w:rPr>
          <w:rStyle w:val="Fotnotsreferens"/>
          <w:rFonts w:ascii="Times New Roman" w:hAnsi="Times New Roman"/>
          <w:spacing w:val="-3"/>
        </w:rPr>
        <w:footnoteReference w:id="61"/>
      </w:r>
      <w:r>
        <w:rPr>
          <w:rFonts w:ascii="Times New Roman" w:hAnsi="Times New Roman"/>
          <w:spacing w:val="-3"/>
        </w:rPr>
        <w:t xml:space="preserve"> Med en socialdemokratiskt ledd arbetarrörelse, som bejakade ekonomisk tillväxt för att på den vägen skapa en välfärdsstat, och en organiserad arbetsgivarpart, som såg den ekonomiska tillväxten som sätt att öka vinst och konkurrenskraft, fanns det från och med 1930-talet goda möjligheter att utifrån sammanfallande intressen sluta förhandlingsöverenskommelser. Förhandlingskulturen utvecklades ytterligare av 1946 års företagsnämndsavtal, som öppnade en lokal företagsdemokratisk förhandlingsarena och som på en del håll fick långtgående följder för regleringen av hur företagen styrdes.</w:t>
      </w:r>
      <w:r>
        <w:rPr>
          <w:rStyle w:val="Fotnotsreferens"/>
          <w:rFonts w:ascii="Times New Roman" w:hAnsi="Times New Roman"/>
          <w:spacing w:val="-3"/>
        </w:rPr>
        <w:footnoteReference w:id="62"/>
      </w:r>
      <w:r>
        <w:rPr>
          <w:rFonts w:ascii="Times New Roman" w:hAnsi="Times New Roman"/>
          <w:spacing w:val="-3"/>
        </w:rPr>
        <w:t xml:space="preserve"> Medbestämmandelagen (MBL) från 1977 kodifierade de företagsdemokratiska förhandlingsinstitutionerna.</w:t>
      </w:r>
      <w:r>
        <w:rPr>
          <w:rStyle w:val="Fotnotsreferens"/>
          <w:rFonts w:ascii="Times New Roman" w:hAnsi="Times New Roman"/>
          <w:spacing w:val="-3"/>
        </w:rPr>
        <w:footnoteReference w:id="63"/>
      </w:r>
    </w:p>
    <w:p w14:paraId="29D1BBF4" w14:textId="1B5F821A"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Den solidariska lönepolitiken förstärkte förhandlingsinstrumenten ytterligare och styrde från och med mitten av 1950-talet den snabba löne- och tillväxtutvecklingen. Lönegapet minskade när lönerna i höglöneföretagen hölls nere samtidigt som lönerna höjdes i låglöneföretagen. Denna tillväxtfrämjande lönepolitik fungerade väl fram till den ekonomiska nedgången åren </w:t>
      </w:r>
      <w:proofErr w:type="gramStart"/>
      <w:r>
        <w:rPr>
          <w:rFonts w:ascii="Times New Roman" w:hAnsi="Times New Roman"/>
          <w:spacing w:val="-3"/>
        </w:rPr>
        <w:t>1973-74</w:t>
      </w:r>
      <w:proofErr w:type="gramEnd"/>
      <w:r>
        <w:rPr>
          <w:rFonts w:ascii="Times New Roman" w:hAnsi="Times New Roman"/>
          <w:spacing w:val="-3"/>
        </w:rPr>
        <w:t xml:space="preserve"> i samband med oljekrisen och den globala strukturomvandlingen.</w:t>
      </w:r>
      <w:r>
        <w:rPr>
          <w:rStyle w:val="Fotnotsreferens"/>
          <w:rFonts w:ascii="Times New Roman" w:hAnsi="Times New Roman"/>
          <w:spacing w:val="-3"/>
        </w:rPr>
        <w:footnoteReference w:id="64"/>
      </w:r>
      <w:r>
        <w:rPr>
          <w:rFonts w:ascii="Times New Roman" w:hAnsi="Times New Roman"/>
          <w:spacing w:val="-3"/>
        </w:rPr>
        <w:t xml:space="preserve"> </w:t>
      </w:r>
    </w:p>
    <w:p w14:paraId="6E244DCA" w14:textId="77777777"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Man kan säga att fack, företag och stat med hjälp av de olika förhandlingsinstitutionerna på arbetsmarknaden omvandlade sammanfallande intressen till att skapa en informell tillväxtpakt under den tidiga efterkrigstiden. De informella förhandlingarna på Harpsund, mellan regeringen och arbetsmarknadens parter, spelade också en central roll i denna tillväxtpakt, eftersom de medförde att arbetsmarknadens parter kunde delta i förhandlingarna om hur skatte- och välfärdspolitiken skulle utformas. Tillväxtpakten liksom förhandlingsinstitutionerna försvagades under 1970-talet, när tillväxten försvagades och när motsättningarna på arbetsmarknaden växte. År 1983 ersattes de nationella avtalen med branschavtal. Hädanefter fanns inga förutsättningar för vare sig så nära nationell samordning av lönepolitiken eller någon tillväxtpakt. Statsvetaren Nils Elvander menar att den kollektiva rationalitet som präglade de nationella avtalen sprack, på grund av att olika grupper hade så olika intressen i en tid då den ekonomiska tillväxten var svag.</w:t>
      </w:r>
      <w:r>
        <w:rPr>
          <w:rStyle w:val="Fotnotsreferens"/>
          <w:rFonts w:ascii="Times New Roman" w:hAnsi="Times New Roman"/>
          <w:spacing w:val="-3"/>
        </w:rPr>
        <w:footnoteReference w:id="65"/>
      </w:r>
    </w:p>
    <w:p w14:paraId="01C92989" w14:textId="40556E16"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Många forskare menar</w:t>
      </w:r>
      <w:r w:rsidR="0040659E">
        <w:rPr>
          <w:rFonts w:ascii="Times New Roman" w:hAnsi="Times New Roman"/>
          <w:spacing w:val="-3"/>
        </w:rPr>
        <w:t>, som jag berör inledningsvis,</w:t>
      </w:r>
      <w:r>
        <w:rPr>
          <w:rFonts w:ascii="Times New Roman" w:hAnsi="Times New Roman"/>
          <w:spacing w:val="-3"/>
        </w:rPr>
        <w:t xml:space="preserve"> att den tidiga efterkrigstiden, när den ekonomiska tillväxten var som störst och när arbetsmarknadskonflikterna var sällsynta, karaktäriserades av ”samförståndsanda”. Rötterna till denna söker man sedan i det socialdemokratiska partiets folkhemsbygge och i Saltsjöbadsavtalet – Saltsjöbadsandan.</w:t>
      </w:r>
      <w:r>
        <w:rPr>
          <w:rStyle w:val="Fotnotsreferens"/>
          <w:rFonts w:ascii="Times New Roman" w:hAnsi="Times New Roman"/>
          <w:spacing w:val="-3"/>
        </w:rPr>
        <w:footnoteReference w:id="66"/>
      </w:r>
      <w:r>
        <w:rPr>
          <w:rFonts w:ascii="Times New Roman" w:hAnsi="Times New Roman"/>
          <w:spacing w:val="-3"/>
        </w:rPr>
        <w:t xml:space="preserve"> Till exempel sätter Lundh likhetstecken mellan begreppen förhandlingskultur och samarbetsideologi. Dessutom menar han att förutsättningen för den snabba tillväxten och löneutvecklingen var att LO och SAF i de nationella avtalen disciplinerade sina medlemmar och att detta var orsaken till den svenska modellens framgångar.</w:t>
      </w:r>
      <w:r>
        <w:rPr>
          <w:rStyle w:val="Fotnotsreferens"/>
          <w:rFonts w:ascii="Times New Roman" w:hAnsi="Times New Roman"/>
          <w:spacing w:val="-3"/>
        </w:rPr>
        <w:footnoteReference w:id="67"/>
      </w:r>
      <w:r>
        <w:rPr>
          <w:rFonts w:ascii="Times New Roman" w:hAnsi="Times New Roman"/>
          <w:spacing w:val="-3"/>
        </w:rPr>
        <w:t xml:space="preserve"> Den senare slutsatsen håller jag delvis med om, men jag menar att Lundh, och andra forskare, undervärderar förhandlingskulturen som konfliktlösningsmekanism. Visserligen fanns det, liksom under 1920-talet, ett intresse från många företagare att skapa konsensus, men det var förhandlingskulturen som trots de grundläggande motsättningarna skapade förutsättningar för att lösa konflikterna.</w:t>
      </w:r>
      <w:r>
        <w:rPr>
          <w:rStyle w:val="Fotnotsreferens"/>
          <w:rFonts w:ascii="Times New Roman" w:hAnsi="Times New Roman"/>
          <w:spacing w:val="-3"/>
        </w:rPr>
        <w:footnoteReference w:id="68"/>
      </w:r>
    </w:p>
    <w:p w14:paraId="1D4B16A8" w14:textId="45CB6439"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Den här ståndpunkten stöds av historikern Hans De Geers framställning av de centrala avtalsförhandlingarna mellan LO och SAF under 1950- och 1960-talen. Hans studie visar med all tydlighet att parterna hade olika intressen, men att man efter ibland kärva och segdragna förhandlingar, strandningar och medlingar kompromissade sig fram till nationella avtal.</w:t>
      </w:r>
      <w:r>
        <w:rPr>
          <w:rStyle w:val="Fotnotsreferens"/>
          <w:rFonts w:ascii="Times New Roman" w:hAnsi="Times New Roman"/>
          <w:spacing w:val="-3"/>
        </w:rPr>
        <w:footnoteReference w:id="69"/>
      </w:r>
      <w:r>
        <w:rPr>
          <w:rFonts w:ascii="Times New Roman" w:hAnsi="Times New Roman"/>
          <w:spacing w:val="-3"/>
        </w:rPr>
        <w:t xml:space="preserve"> Teoretiskt menar De Geer att parterna hade tre alternativ: för det första kunde de vara antagonistiska, för det andra samarbetande motparter och för det tredje samarbetande parter. Hans drar samma slutsats</w:t>
      </w:r>
      <w:r w:rsidR="0040659E">
        <w:rPr>
          <w:rFonts w:ascii="Times New Roman" w:hAnsi="Times New Roman"/>
          <w:spacing w:val="-3"/>
        </w:rPr>
        <w:t>,</w:t>
      </w:r>
      <w:r>
        <w:rPr>
          <w:rFonts w:ascii="Times New Roman" w:hAnsi="Times New Roman"/>
          <w:spacing w:val="-3"/>
        </w:rPr>
        <w:t xml:space="preserve"> som jag gör: att LO och SAF var samarbetande motparter. Som motparter samarbetade de inom ramen för förhandlingskulturen. Om de inte kom överens kunde för det första de nationellt samordnade tvåpartsförhandlingarna förvandlas till mångpartsförhandlingar på branschnivå; för det andra staten gripa in med tvångsåtgärder; och för det tredje en större arbetsmarknadskonflikt bryta ut.</w:t>
      </w:r>
      <w:r>
        <w:rPr>
          <w:rStyle w:val="Fotnotsreferens"/>
          <w:rFonts w:ascii="Times New Roman" w:hAnsi="Times New Roman"/>
          <w:spacing w:val="-3"/>
        </w:rPr>
        <w:footnoteReference w:id="70"/>
      </w:r>
      <w:r>
        <w:rPr>
          <w:rFonts w:ascii="Times New Roman" w:hAnsi="Times New Roman"/>
          <w:spacing w:val="-3"/>
        </w:rPr>
        <w:t xml:space="preserve"> Successivt minskade dessa alternativ kalkylerbarheten.</w:t>
      </w:r>
    </w:p>
    <w:p w14:paraId="64B0F31D" w14:textId="0184E1FB"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Slutsatser av detta är att skötsamhetsprojektet skapade förutsättningar för folkrörelserna</w:t>
      </w:r>
      <w:r w:rsidR="00264BB6">
        <w:rPr>
          <w:rFonts w:ascii="Times New Roman" w:hAnsi="Times New Roman"/>
          <w:spacing w:val="-3"/>
        </w:rPr>
        <w:t>s handlande</w:t>
      </w:r>
      <w:r>
        <w:rPr>
          <w:rFonts w:ascii="Times New Roman" w:hAnsi="Times New Roman"/>
          <w:spacing w:val="-3"/>
        </w:rPr>
        <w:t xml:space="preserve">. Dessa förutsättningar låg sedan till grund för hur parterna på arbetsmarknaden löste sina konflikter. Den historiska kontexten för den behandlade perioden stämmer alltså ganska väl med den idealtyp om konfliktlösningsmodellen jag behandlar ovan. Särskilt giltig var den från och med det sena 1930-talet fram till 1970-talet. Parterna började sträva efter att lösa de inbördes konflikterna på lokal och delvis på nationell nivå under 1900-talets båda första decennier samt på nationell nivå från och med det sena 1920-talet. Eftersom </w:t>
      </w:r>
      <w:r w:rsidR="0040659E">
        <w:rPr>
          <w:rFonts w:ascii="Times New Roman" w:hAnsi="Times New Roman"/>
          <w:spacing w:val="-3"/>
        </w:rPr>
        <w:t xml:space="preserve">den LO-organiserade </w:t>
      </w:r>
      <w:r>
        <w:rPr>
          <w:rFonts w:ascii="Times New Roman" w:hAnsi="Times New Roman"/>
          <w:spacing w:val="-3"/>
        </w:rPr>
        <w:t>fackföreningsrörelsen präglades av skötsamhetsprojektets föreställningsvärld ända sedan pionjäråren, uppfattade man även konfliktlösningsmekanismerna som förnuftiga. Motsvarande rationaliseringsprocess verkar också ha påverkat företagarnas föreställningar.</w:t>
      </w:r>
      <w:r>
        <w:rPr>
          <w:rStyle w:val="Fotnotsreferens"/>
          <w:rFonts w:ascii="Times New Roman" w:hAnsi="Times New Roman"/>
          <w:spacing w:val="-3"/>
        </w:rPr>
        <w:footnoteReference w:id="71"/>
      </w:r>
      <w:r>
        <w:rPr>
          <w:rFonts w:ascii="Times New Roman" w:hAnsi="Times New Roman"/>
          <w:spacing w:val="-3"/>
        </w:rPr>
        <w:t xml:space="preserve"> </w:t>
      </w:r>
    </w:p>
    <w:p w14:paraId="736B8655" w14:textId="77777777"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I och med samsynen om hur man kunde nå förnuftiga lösningar och den förhandlingskultur som därmed uppkom möjliggjordes den tidiga efterkrigstidens tillväxtpakt mellan arbetsmarknadens parter och staten, som medförde att den ekonomiska tillväxten var mycket hög fram till det tidiga 1970-talet. Under denna period befordrade förhandlingskulturen i hög grad de tillitsskapande mekanismerna. </w:t>
      </w:r>
    </w:p>
    <w:p w14:paraId="7F0D732C" w14:textId="77777777"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Något som bland annat statsvetaren Bo Rothstein berör i flera studier är de korporativa tendenserna, som innebar att folkrörelserna integrerades i välfärdsstatens statsapparat. Det innebar bland annat att de deltog i olika partssammansatta statliga institutioner, som i det offentliga utredningsväsendet. Här har jag inte undersökt hur detta gick till. Däremot kan man dra slutsatsen att denna integrering i statsapparaten också innebar att förhandlingskulturen lyftes in i statsapparaten. Harpsundssamtalen under den tidiga efterkrigstiden är ett exempel på både korporativismen och på förhandlingskulturens betydelse för välfärdsstaten.</w:t>
      </w:r>
      <w:r>
        <w:rPr>
          <w:rStyle w:val="Fotnotsreferens"/>
          <w:rFonts w:ascii="Times New Roman" w:hAnsi="Times New Roman"/>
          <w:spacing w:val="-3"/>
        </w:rPr>
        <w:footnoteReference w:id="72"/>
      </w:r>
      <w:r>
        <w:rPr>
          <w:rFonts w:ascii="Times New Roman" w:hAnsi="Times New Roman"/>
          <w:spacing w:val="-3"/>
        </w:rPr>
        <w:t xml:space="preserve"> </w:t>
      </w:r>
      <w:r>
        <w:rPr>
          <w:rFonts w:ascii="Times New Roman" w:hAnsi="Times New Roman"/>
          <w:bCs/>
          <w:spacing w:val="-3"/>
        </w:rPr>
        <w:t xml:space="preserve">Den korporativa processen spelade också stor roll på lokal nivå. Även här var inflytandet störst under 1970- och 1980-talen. Fackföreningsrörelsen drev flera kommunalpolitiska frågor och hade </w:t>
      </w:r>
      <w:r>
        <w:rPr>
          <w:rFonts w:ascii="Times New Roman" w:hAnsi="Times New Roman"/>
          <w:spacing w:val="-3"/>
        </w:rPr>
        <w:t>förhandlande direktkontakter med kommunens ledande politiker samt med kommunala nämnder och styrelser. Dessutom kunde man delta som representanter i kommunala grupper. På så sätt hade de fackliga organisationerna inflytande över den lokala välfärdspolitiken. I slutet av 1980-talet avtog dock detta korporativa inflytande både lokalt och nationellt.</w:t>
      </w:r>
      <w:r>
        <w:rPr>
          <w:rStyle w:val="Fotnotsreferens"/>
          <w:rFonts w:ascii="Times New Roman" w:hAnsi="Times New Roman"/>
          <w:spacing w:val="-3"/>
        </w:rPr>
        <w:footnoteReference w:id="73"/>
      </w:r>
    </w:p>
    <w:p w14:paraId="42084869" w14:textId="77777777"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Hur förhandlingskulturen påverkade den offentliga politiken är svårt att avgöra, eftersom det inte berörs i det källmaterial jag har använt. Men, det är rimligt att tänka sig att detta sätt att lösa konflikter på spelade stor roll för den klassöverskridande politik som socialdemokraterna bedrev i samband med skapandet av välfärdsstaten.</w:t>
      </w:r>
      <w:r>
        <w:rPr>
          <w:rStyle w:val="Fotnotsreferens"/>
          <w:rFonts w:ascii="Times New Roman" w:hAnsi="Times New Roman"/>
          <w:spacing w:val="-3"/>
        </w:rPr>
        <w:footnoteReference w:id="74"/>
      </w:r>
      <w:r>
        <w:rPr>
          <w:rFonts w:ascii="Times New Roman" w:hAnsi="Times New Roman"/>
          <w:spacing w:val="-3"/>
        </w:rPr>
        <w:t xml:space="preserve"> Historikern Anna Friberg menar att det socialdemokratiska partiet redan under 1930-talet förordade kompromisslösningar, som sätt att lösa konflikter på.</w:t>
      </w:r>
      <w:r>
        <w:rPr>
          <w:rStyle w:val="Fotnotsreferens"/>
          <w:rFonts w:ascii="Times New Roman" w:hAnsi="Times New Roman"/>
          <w:spacing w:val="-3"/>
        </w:rPr>
        <w:footnoteReference w:id="75"/>
      </w:r>
      <w:r>
        <w:rPr>
          <w:rFonts w:ascii="Times New Roman" w:hAnsi="Times New Roman"/>
          <w:spacing w:val="-3"/>
        </w:rPr>
        <w:t xml:space="preserve"> Här har vi förmodligen en av anledningarna till att det var möjligt att sluta en informell tillväxtpakt mellan staten och arbetsmarknadens parter. </w:t>
      </w:r>
    </w:p>
    <w:p w14:paraId="52CEAD80" w14:textId="12719697" w:rsidR="004850E7" w:rsidRDefault="004850E7">
      <w:pPr>
        <w:suppressAutoHyphens/>
        <w:spacing w:line="360" w:lineRule="auto"/>
        <w:jc w:val="both"/>
        <w:rPr>
          <w:rFonts w:ascii="Times New Roman" w:hAnsi="Times New Roman"/>
          <w:spacing w:val="-3"/>
        </w:rPr>
      </w:pPr>
      <w:r>
        <w:rPr>
          <w:rFonts w:ascii="Times New Roman" w:hAnsi="Times New Roman"/>
          <w:spacing w:val="-3"/>
        </w:rPr>
        <w:t xml:space="preserve">   Det går också att belägga förhandlingskulturen med hjälp av indirekta argument. Ovan argumenterar vi för att förhandlingskulturen i stor utsträckning präglades av folkrörelsernas skötsamhetsprojekt – ett projekt som i stor utsträckning byggde på rationalitet och förnuftstro. Samma rationalitet och förnuftstro omformat till storskaliga lösningar präglade den svenska välfärdsstaten, som baserades på generella välfärdsåtgärder. Med hjälp av förnuftsargument kunde man även motivera välfärdsåtgärder som senare har betraktats som övergrepp på individer, till exempel i form av tvångssteriliseringar av personer som staten inte ansåg borde föda barn. Det var först på 1970-talet som denna typ av åtgärder upphörde.</w:t>
      </w:r>
      <w:r>
        <w:rPr>
          <w:rStyle w:val="Fotnotsreferens"/>
          <w:rFonts w:ascii="Times New Roman" w:hAnsi="Times New Roman"/>
          <w:spacing w:val="-3"/>
        </w:rPr>
        <w:footnoteReference w:id="76"/>
      </w:r>
    </w:p>
    <w:p w14:paraId="2AAAE630" w14:textId="794D9647" w:rsidR="00FC6A7D" w:rsidRDefault="00FC6A7D">
      <w:pPr>
        <w:suppressAutoHyphens/>
        <w:spacing w:line="360" w:lineRule="auto"/>
        <w:jc w:val="both"/>
        <w:rPr>
          <w:rFonts w:ascii="Times New Roman" w:hAnsi="Times New Roman"/>
          <w:spacing w:val="-3"/>
        </w:rPr>
      </w:pPr>
    </w:p>
    <w:p w14:paraId="308B0FA4" w14:textId="0AC3CA22" w:rsidR="00FC6A7D" w:rsidRDefault="00FC6A7D">
      <w:pPr>
        <w:suppressAutoHyphens/>
        <w:spacing w:line="360" w:lineRule="auto"/>
        <w:jc w:val="both"/>
        <w:rPr>
          <w:rFonts w:ascii="Times New Roman" w:hAnsi="Times New Roman"/>
          <w:spacing w:val="-3"/>
        </w:rPr>
      </w:pPr>
      <w:r>
        <w:rPr>
          <w:rFonts w:ascii="Times New Roman" w:hAnsi="Times New Roman"/>
          <w:spacing w:val="-3"/>
        </w:rPr>
        <w:t>Björn Horgby</w:t>
      </w:r>
      <w:bookmarkStart w:id="0" w:name="_GoBack"/>
      <w:bookmarkEnd w:id="0"/>
    </w:p>
    <w:p w14:paraId="5DE2DAAB" w14:textId="77777777" w:rsidR="004850E7" w:rsidRDefault="004850E7">
      <w:pPr>
        <w:suppressAutoHyphens/>
        <w:spacing w:line="360" w:lineRule="auto"/>
        <w:jc w:val="both"/>
        <w:rPr>
          <w:rFonts w:ascii="Times New Roman" w:hAnsi="Times New Roman"/>
          <w:spacing w:val="-3"/>
        </w:rPr>
      </w:pPr>
    </w:p>
    <w:p w14:paraId="62EBC3C9" w14:textId="77777777" w:rsidR="004850E7" w:rsidRDefault="004850E7">
      <w:pPr>
        <w:suppressAutoHyphens/>
        <w:spacing w:line="360" w:lineRule="auto"/>
        <w:jc w:val="both"/>
        <w:rPr>
          <w:rFonts w:ascii="Times New Roman" w:hAnsi="Times New Roman"/>
          <w:spacing w:val="-3"/>
        </w:rPr>
      </w:pPr>
    </w:p>
    <w:sectPr w:rsidR="004850E7">
      <w:headerReference w:type="even" r:id="rId7"/>
      <w:headerReference w:type="default" r:id="rId8"/>
      <w:pgSz w:w="11906" w:h="16838"/>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D55" w14:textId="77777777" w:rsidR="002D12CD" w:rsidRDefault="002D12CD">
      <w:pPr>
        <w:spacing w:line="20" w:lineRule="exact"/>
      </w:pPr>
    </w:p>
  </w:endnote>
  <w:endnote w:type="continuationSeparator" w:id="0">
    <w:p w14:paraId="1EF51411" w14:textId="77777777" w:rsidR="002D12CD" w:rsidRDefault="002D12CD">
      <w:r>
        <w:t xml:space="preserve"> </w:t>
      </w:r>
    </w:p>
  </w:endnote>
  <w:endnote w:type="continuationNotice" w:id="1">
    <w:p w14:paraId="600BEEE1" w14:textId="77777777" w:rsidR="002D12CD" w:rsidRDefault="002D12C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ntique Olive">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E26AE" w14:textId="77777777" w:rsidR="002D12CD" w:rsidRDefault="002D12CD">
      <w:r>
        <w:separator/>
      </w:r>
    </w:p>
  </w:footnote>
  <w:footnote w:type="continuationSeparator" w:id="0">
    <w:p w14:paraId="174FC52C" w14:textId="77777777" w:rsidR="002D12CD" w:rsidRDefault="002D12CD">
      <w:r>
        <w:continuationSeparator/>
      </w:r>
    </w:p>
  </w:footnote>
  <w:footnote w:id="1">
    <w:p w14:paraId="680F07AA" w14:textId="77777777" w:rsidR="004850E7" w:rsidRDefault="004850E7">
      <w:pPr>
        <w:pStyle w:val="Fotnotstext"/>
        <w:jc w:val="both"/>
        <w:rPr>
          <w:rFonts w:ascii="Times New Roman" w:hAnsi="Times New Roman"/>
          <w:bCs/>
          <w:sz w:val="20"/>
        </w:rPr>
      </w:pPr>
      <w:r>
        <w:rPr>
          <w:rStyle w:val="Fotnotsreferens"/>
        </w:rPr>
        <w:footnoteRef/>
      </w:r>
      <w:r>
        <w:t xml:space="preserve"> </w:t>
      </w:r>
      <w:r>
        <w:rPr>
          <w:rFonts w:ascii="Times New Roman" w:hAnsi="Times New Roman"/>
          <w:sz w:val="20"/>
          <w:szCs w:val="20"/>
        </w:rPr>
        <w:t xml:space="preserve">Per </w:t>
      </w:r>
      <w:proofErr w:type="spellStart"/>
      <w:r>
        <w:rPr>
          <w:rFonts w:ascii="Times New Roman" w:hAnsi="Times New Roman"/>
          <w:sz w:val="20"/>
          <w:szCs w:val="20"/>
        </w:rPr>
        <w:t>Thullberg</w:t>
      </w:r>
      <w:proofErr w:type="spellEnd"/>
      <w:r>
        <w:rPr>
          <w:rFonts w:ascii="Times New Roman" w:hAnsi="Times New Roman"/>
          <w:sz w:val="20"/>
          <w:szCs w:val="20"/>
        </w:rPr>
        <w:t xml:space="preserve"> &amp; Kjell Östberg, </w:t>
      </w:r>
      <w:r>
        <w:rPr>
          <w:rFonts w:ascii="Times New Roman" w:hAnsi="Times New Roman"/>
          <w:i/>
          <w:sz w:val="20"/>
          <w:szCs w:val="20"/>
        </w:rPr>
        <w:t>Den svenska modellen</w:t>
      </w:r>
      <w:r>
        <w:rPr>
          <w:rFonts w:ascii="Times New Roman" w:hAnsi="Times New Roman"/>
          <w:sz w:val="20"/>
          <w:szCs w:val="20"/>
        </w:rPr>
        <w:t xml:space="preserve">. Stockholm 1994; Klaus Misgeld, Karl Molin &amp; Klas Åmark, </w:t>
      </w:r>
      <w:r>
        <w:rPr>
          <w:rFonts w:ascii="Times New Roman" w:hAnsi="Times New Roman"/>
          <w:i/>
          <w:sz w:val="20"/>
          <w:szCs w:val="20"/>
        </w:rPr>
        <w:t>Socialdemokratins samhälle</w:t>
      </w:r>
      <w:r>
        <w:rPr>
          <w:rFonts w:ascii="Times New Roman" w:hAnsi="Times New Roman"/>
          <w:sz w:val="20"/>
          <w:szCs w:val="20"/>
        </w:rPr>
        <w:t xml:space="preserve">. Stockholm 1989; Christer Lundh, </w:t>
      </w:r>
      <w:r>
        <w:rPr>
          <w:rFonts w:ascii="Times New Roman" w:hAnsi="Times New Roman"/>
          <w:i/>
          <w:sz w:val="20"/>
          <w:szCs w:val="20"/>
        </w:rPr>
        <w:t xml:space="preserve">Spelets regler. Institutioner och lönebildning på den svenska arbetsmarknaden </w:t>
      </w:r>
      <w:proofErr w:type="gramStart"/>
      <w:r>
        <w:rPr>
          <w:rFonts w:ascii="Times New Roman" w:hAnsi="Times New Roman"/>
          <w:i/>
          <w:sz w:val="20"/>
          <w:szCs w:val="20"/>
        </w:rPr>
        <w:t>1850-2010</w:t>
      </w:r>
      <w:proofErr w:type="gramEnd"/>
      <w:r>
        <w:rPr>
          <w:rFonts w:ascii="Times New Roman" w:hAnsi="Times New Roman"/>
          <w:sz w:val="20"/>
          <w:szCs w:val="20"/>
        </w:rPr>
        <w:t xml:space="preserve">. </w:t>
      </w:r>
      <w:proofErr w:type="spellStart"/>
      <w:r>
        <w:rPr>
          <w:rFonts w:ascii="Times New Roman" w:hAnsi="Times New Roman"/>
          <w:sz w:val="20"/>
          <w:szCs w:val="20"/>
          <w:lang w:val="en-US"/>
        </w:rPr>
        <w:t>Andra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upplagan</w:t>
      </w:r>
      <w:proofErr w:type="spellEnd"/>
      <w:r>
        <w:rPr>
          <w:rFonts w:ascii="Times New Roman" w:hAnsi="Times New Roman"/>
          <w:sz w:val="20"/>
          <w:szCs w:val="20"/>
          <w:lang w:val="en-US"/>
        </w:rPr>
        <w:t xml:space="preserve"> Stockholm 2010, s 148, 333; Rudolf </w:t>
      </w:r>
      <w:proofErr w:type="spellStart"/>
      <w:r>
        <w:rPr>
          <w:rFonts w:ascii="Times New Roman" w:hAnsi="Times New Roman"/>
          <w:sz w:val="20"/>
          <w:szCs w:val="20"/>
          <w:lang w:val="en-US"/>
        </w:rPr>
        <w:t>Meidner</w:t>
      </w:r>
      <w:proofErr w:type="spellEnd"/>
      <w:r>
        <w:rPr>
          <w:rFonts w:ascii="Times New Roman" w:hAnsi="Times New Roman"/>
          <w:sz w:val="20"/>
          <w:szCs w:val="20"/>
          <w:lang w:val="en-US"/>
        </w:rPr>
        <w:t xml:space="preserve">, </w:t>
      </w:r>
      <w:r>
        <w:rPr>
          <w:rFonts w:ascii="Times New Roman" w:hAnsi="Times New Roman"/>
          <w:i/>
          <w:iCs/>
          <w:sz w:val="20"/>
          <w:szCs w:val="20"/>
          <w:lang w:val="en-US"/>
        </w:rPr>
        <w:t>The Swedish Model. Concept, Experiences, Perspectives</w:t>
      </w:r>
      <w:r>
        <w:rPr>
          <w:rFonts w:ascii="Times New Roman" w:hAnsi="Times New Roman"/>
          <w:sz w:val="20"/>
          <w:szCs w:val="20"/>
          <w:lang w:val="en-US"/>
        </w:rPr>
        <w:t xml:space="preserve">. New York 1992; </w:t>
      </w:r>
      <w:proofErr w:type="spellStart"/>
      <w:r>
        <w:rPr>
          <w:rFonts w:ascii="Times New Roman" w:hAnsi="Times New Roman"/>
          <w:sz w:val="20"/>
          <w:szCs w:val="20"/>
          <w:lang w:val="en-US"/>
        </w:rPr>
        <w:t>jfr</w:t>
      </w:r>
      <w:proofErr w:type="spellEnd"/>
      <w:r>
        <w:rPr>
          <w:rFonts w:ascii="Times New Roman" w:hAnsi="Times New Roman"/>
          <w:sz w:val="20"/>
          <w:szCs w:val="20"/>
          <w:lang w:val="en-US"/>
        </w:rPr>
        <w:t xml:space="preserve"> Magnus </w:t>
      </w:r>
      <w:proofErr w:type="spellStart"/>
      <w:r>
        <w:rPr>
          <w:rFonts w:ascii="Times New Roman" w:hAnsi="Times New Roman"/>
          <w:sz w:val="20"/>
          <w:szCs w:val="20"/>
          <w:lang w:val="en-US"/>
        </w:rPr>
        <w:t>Mörner</w:t>
      </w:r>
      <w:proofErr w:type="spellEnd"/>
      <w:r>
        <w:rPr>
          <w:rFonts w:ascii="Times New Roman" w:hAnsi="Times New Roman"/>
          <w:sz w:val="20"/>
          <w:szCs w:val="20"/>
          <w:lang w:val="en-US"/>
        </w:rPr>
        <w:t xml:space="preserve">, “The Swedish Model. Historical Perspectives”, </w:t>
      </w:r>
      <w:proofErr w:type="spellStart"/>
      <w:r>
        <w:rPr>
          <w:rFonts w:ascii="Times New Roman" w:hAnsi="Times New Roman"/>
          <w:sz w:val="20"/>
          <w:szCs w:val="20"/>
          <w:lang w:val="en-US"/>
        </w:rPr>
        <w:t>i</w:t>
      </w:r>
      <w:proofErr w:type="spellEnd"/>
      <w:r>
        <w:rPr>
          <w:rFonts w:ascii="Times New Roman" w:hAnsi="Times New Roman"/>
          <w:sz w:val="20"/>
          <w:szCs w:val="20"/>
          <w:lang w:val="en-US"/>
        </w:rPr>
        <w:t xml:space="preserve"> </w:t>
      </w:r>
      <w:r>
        <w:rPr>
          <w:rFonts w:ascii="Times New Roman" w:hAnsi="Times New Roman"/>
          <w:i/>
          <w:iCs/>
          <w:sz w:val="20"/>
          <w:szCs w:val="20"/>
          <w:lang w:val="en-US"/>
        </w:rPr>
        <w:t>Scandinavian Journal of History</w:t>
      </w:r>
      <w:r>
        <w:rPr>
          <w:rFonts w:ascii="Times New Roman" w:hAnsi="Times New Roman"/>
          <w:sz w:val="20"/>
          <w:szCs w:val="20"/>
          <w:lang w:val="en-US"/>
        </w:rPr>
        <w:t xml:space="preserve"> 1989, s 245-67; </w:t>
      </w:r>
      <w:proofErr w:type="spellStart"/>
      <w:r>
        <w:rPr>
          <w:rFonts w:ascii="Times New Roman" w:hAnsi="Times New Roman"/>
          <w:sz w:val="20"/>
          <w:szCs w:val="20"/>
          <w:lang w:val="en-US"/>
        </w:rPr>
        <w:t>Joakim</w:t>
      </w:r>
      <w:proofErr w:type="spellEnd"/>
      <w:r>
        <w:rPr>
          <w:rFonts w:ascii="Times New Roman" w:hAnsi="Times New Roman"/>
          <w:sz w:val="20"/>
          <w:szCs w:val="20"/>
          <w:lang w:val="en-US"/>
        </w:rPr>
        <w:t xml:space="preserve"> Palme, “The Swedish Model”, </w:t>
      </w:r>
      <w:proofErr w:type="spellStart"/>
      <w:r>
        <w:rPr>
          <w:rFonts w:ascii="Times New Roman" w:hAnsi="Times New Roman"/>
          <w:sz w:val="20"/>
          <w:szCs w:val="20"/>
          <w:lang w:val="en-US"/>
        </w:rPr>
        <w:t>i</w:t>
      </w:r>
      <w:proofErr w:type="spellEnd"/>
      <w:r>
        <w:rPr>
          <w:rFonts w:ascii="Times New Roman" w:hAnsi="Times New Roman"/>
          <w:sz w:val="20"/>
          <w:szCs w:val="20"/>
          <w:lang w:val="en-US"/>
        </w:rPr>
        <w:t xml:space="preserve"> </w:t>
      </w:r>
      <w:r>
        <w:rPr>
          <w:rFonts w:ascii="Times New Roman" w:hAnsi="Times New Roman"/>
          <w:i/>
          <w:iCs/>
          <w:sz w:val="20"/>
          <w:lang w:val="en-US"/>
        </w:rPr>
        <w:t>Sweden – Austria. Two Roads to Neutrality and a Modern Welfare</w:t>
      </w:r>
      <w:r>
        <w:rPr>
          <w:rFonts w:ascii="Times New Roman" w:hAnsi="Times New Roman"/>
          <w:sz w:val="20"/>
          <w:szCs w:val="20"/>
          <w:lang w:val="en-US"/>
        </w:rPr>
        <w:t xml:space="preserve">. 2008; Lars </w:t>
      </w:r>
      <w:proofErr w:type="spellStart"/>
      <w:r>
        <w:rPr>
          <w:rFonts w:ascii="Times New Roman" w:hAnsi="Times New Roman"/>
          <w:sz w:val="20"/>
          <w:szCs w:val="20"/>
          <w:lang w:val="en-US"/>
        </w:rPr>
        <w:t>Trädgårdh</w:t>
      </w:r>
      <w:proofErr w:type="spellEnd"/>
      <w:r>
        <w:rPr>
          <w:rFonts w:ascii="Times New Roman" w:hAnsi="Times New Roman"/>
          <w:sz w:val="20"/>
          <w:szCs w:val="20"/>
          <w:lang w:val="en-US"/>
        </w:rPr>
        <w:t xml:space="preserve"> ed, </w:t>
      </w:r>
      <w:r>
        <w:rPr>
          <w:rFonts w:ascii="Times New Roman" w:hAnsi="Times New Roman"/>
          <w:i/>
          <w:iCs/>
          <w:sz w:val="20"/>
          <w:lang w:val="en-US"/>
        </w:rPr>
        <w:t>State and Civil Society in Northern Europe. The Swedish Model Reconsidered</w:t>
      </w:r>
      <w:r>
        <w:rPr>
          <w:rFonts w:ascii="Times New Roman" w:hAnsi="Times New Roman"/>
          <w:sz w:val="20"/>
          <w:lang w:val="en-US"/>
        </w:rPr>
        <w:t xml:space="preserve">. </w:t>
      </w:r>
      <w:r>
        <w:rPr>
          <w:rFonts w:ascii="Times New Roman" w:hAnsi="Times New Roman"/>
          <w:sz w:val="20"/>
        </w:rPr>
        <w:t xml:space="preserve">New York 2007: se även Hans De Geer, </w:t>
      </w:r>
      <w:r>
        <w:rPr>
          <w:rFonts w:ascii="Times New Roman" w:hAnsi="Times New Roman"/>
          <w:i/>
          <w:iCs/>
          <w:sz w:val="20"/>
        </w:rPr>
        <w:t xml:space="preserve">SAF I förhandlingar. Svenska Arbetsgivareföreningen och dess förhandlingsrelationer till LO och tjänstemannaorganisationerna </w:t>
      </w:r>
      <w:proofErr w:type="gramStart"/>
      <w:r>
        <w:rPr>
          <w:rFonts w:ascii="Times New Roman" w:hAnsi="Times New Roman"/>
          <w:i/>
          <w:iCs/>
          <w:sz w:val="20"/>
        </w:rPr>
        <w:t>1930-1970</w:t>
      </w:r>
      <w:proofErr w:type="gramEnd"/>
      <w:r>
        <w:rPr>
          <w:rFonts w:ascii="Times New Roman" w:hAnsi="Times New Roman"/>
          <w:sz w:val="20"/>
        </w:rPr>
        <w:t xml:space="preserve">. Stockholm 1986, s 367 ff; och Nils Elvander, </w:t>
      </w:r>
      <w:r>
        <w:rPr>
          <w:rFonts w:ascii="Times New Roman" w:hAnsi="Times New Roman"/>
          <w:i/>
          <w:iCs/>
          <w:sz w:val="20"/>
        </w:rPr>
        <w:t xml:space="preserve">Den svenska modellen. Löneförhandlingar och inkomstpolitik </w:t>
      </w:r>
      <w:proofErr w:type="gramStart"/>
      <w:r>
        <w:rPr>
          <w:rFonts w:ascii="Times New Roman" w:hAnsi="Times New Roman"/>
          <w:i/>
          <w:iCs/>
          <w:sz w:val="20"/>
        </w:rPr>
        <w:t>1982-1986</w:t>
      </w:r>
      <w:proofErr w:type="gramEnd"/>
      <w:r>
        <w:rPr>
          <w:rFonts w:ascii="Times New Roman" w:hAnsi="Times New Roman"/>
          <w:sz w:val="20"/>
        </w:rPr>
        <w:t xml:space="preserve">. </w:t>
      </w:r>
      <w:r>
        <w:rPr>
          <w:rFonts w:ascii="Times New Roman" w:hAnsi="Times New Roman"/>
          <w:sz w:val="20"/>
          <w:lang w:val="en-US"/>
        </w:rPr>
        <w:t>Stockholm 1988.</w:t>
      </w:r>
      <w:r>
        <w:rPr>
          <w:b/>
          <w:i/>
          <w:sz w:val="20"/>
          <w:szCs w:val="20"/>
          <w:lang w:val="en-US"/>
        </w:rPr>
        <w:t xml:space="preserve"> </w:t>
      </w:r>
      <w:r>
        <w:rPr>
          <w:rFonts w:ascii="Times New Roman" w:hAnsi="Times New Roman"/>
          <w:bCs/>
          <w:i/>
          <w:sz w:val="20"/>
          <w:szCs w:val="20"/>
          <w:lang w:val="en-US"/>
        </w:rPr>
        <w:t xml:space="preserve">Se </w:t>
      </w:r>
      <w:proofErr w:type="spellStart"/>
      <w:r>
        <w:rPr>
          <w:rFonts w:ascii="Times New Roman" w:hAnsi="Times New Roman"/>
          <w:bCs/>
          <w:i/>
          <w:sz w:val="20"/>
          <w:szCs w:val="20"/>
          <w:lang w:val="en-US"/>
        </w:rPr>
        <w:t>även</w:t>
      </w:r>
      <w:proofErr w:type="spellEnd"/>
      <w:r>
        <w:rPr>
          <w:rFonts w:ascii="Times New Roman" w:hAnsi="Times New Roman"/>
          <w:bCs/>
          <w:i/>
          <w:sz w:val="20"/>
          <w:szCs w:val="20"/>
          <w:lang w:val="en-US"/>
        </w:rPr>
        <w:t xml:space="preserve"> </w:t>
      </w:r>
      <w:proofErr w:type="spellStart"/>
      <w:r>
        <w:rPr>
          <w:rFonts w:ascii="Times New Roman" w:hAnsi="Times New Roman"/>
          <w:bCs/>
          <w:iCs/>
          <w:sz w:val="20"/>
          <w:szCs w:val="20"/>
          <w:lang w:val="en-US"/>
        </w:rPr>
        <w:t>Gøsta</w:t>
      </w:r>
      <w:proofErr w:type="spellEnd"/>
      <w:r>
        <w:rPr>
          <w:rFonts w:ascii="Times New Roman" w:hAnsi="Times New Roman"/>
          <w:bCs/>
          <w:iCs/>
          <w:sz w:val="20"/>
          <w:szCs w:val="20"/>
          <w:lang w:val="en-US"/>
        </w:rPr>
        <w:t xml:space="preserve"> Esping Andersen</w:t>
      </w:r>
      <w:r>
        <w:rPr>
          <w:rFonts w:ascii="Times New Roman" w:hAnsi="Times New Roman"/>
          <w:bCs/>
          <w:i/>
          <w:sz w:val="20"/>
          <w:szCs w:val="20"/>
          <w:lang w:val="en-US"/>
        </w:rPr>
        <w:t xml:space="preserve">, The Three Worlds of Welfare Capitalism. </w:t>
      </w:r>
      <w:r>
        <w:rPr>
          <w:rFonts w:ascii="Times New Roman" w:hAnsi="Times New Roman"/>
          <w:bCs/>
          <w:iCs/>
          <w:sz w:val="20"/>
          <w:szCs w:val="20"/>
          <w:lang w:val="en-US"/>
        </w:rPr>
        <w:t>Cambridge 1990; Tim Tilton</w:t>
      </w:r>
      <w:r>
        <w:rPr>
          <w:rFonts w:ascii="Times New Roman" w:hAnsi="Times New Roman"/>
          <w:bCs/>
          <w:i/>
          <w:sz w:val="20"/>
          <w:szCs w:val="20"/>
          <w:lang w:val="en-US"/>
        </w:rPr>
        <w:t xml:space="preserve">, </w:t>
      </w:r>
      <w:r>
        <w:rPr>
          <w:rFonts w:ascii="Times New Roman" w:hAnsi="Times New Roman"/>
          <w:bCs/>
          <w:i/>
          <w:iCs/>
          <w:sz w:val="20"/>
          <w:lang w:val="en-US"/>
        </w:rPr>
        <w:t>The political theory of Swedish Social Democracy. Through the welfare state to socialism</w:t>
      </w:r>
      <w:r>
        <w:rPr>
          <w:rFonts w:ascii="Times New Roman" w:hAnsi="Times New Roman"/>
          <w:bCs/>
          <w:sz w:val="20"/>
          <w:lang w:val="en-US"/>
        </w:rPr>
        <w:t xml:space="preserve">. Oxford 1991; </w:t>
      </w:r>
      <w:r>
        <w:rPr>
          <w:rFonts w:ascii="Times New Roman" w:hAnsi="Times New Roman"/>
          <w:bCs/>
          <w:sz w:val="20"/>
          <w:szCs w:val="20"/>
          <w:lang w:val="en-US"/>
        </w:rPr>
        <w:t xml:space="preserve">Gregg </w:t>
      </w:r>
      <w:proofErr w:type="spellStart"/>
      <w:r>
        <w:rPr>
          <w:rFonts w:ascii="Times New Roman" w:hAnsi="Times New Roman"/>
          <w:bCs/>
          <w:sz w:val="20"/>
          <w:szCs w:val="20"/>
          <w:lang w:val="en-US"/>
        </w:rPr>
        <w:t>Bucken</w:t>
      </w:r>
      <w:proofErr w:type="spellEnd"/>
      <w:r>
        <w:rPr>
          <w:rFonts w:ascii="Times New Roman" w:hAnsi="Times New Roman"/>
          <w:bCs/>
          <w:sz w:val="20"/>
          <w:szCs w:val="20"/>
          <w:lang w:val="en-US"/>
        </w:rPr>
        <w:t>-Knapp</w:t>
      </w:r>
      <w:r>
        <w:rPr>
          <w:rFonts w:ascii="Times New Roman" w:hAnsi="Times New Roman"/>
          <w:bCs/>
          <w:i/>
          <w:sz w:val="20"/>
          <w:szCs w:val="20"/>
          <w:lang w:val="en-US"/>
        </w:rPr>
        <w:t xml:space="preserve">, </w:t>
      </w:r>
      <w:r>
        <w:rPr>
          <w:rFonts w:ascii="Times New Roman" w:hAnsi="Times New Roman"/>
          <w:bCs/>
          <w:i/>
          <w:iCs/>
          <w:sz w:val="20"/>
          <w:lang w:val="en-US"/>
        </w:rPr>
        <w:t>Defending the Swedish model, Social Democrats, trade unions, and labor migration policy reform.</w:t>
      </w:r>
      <w:r>
        <w:rPr>
          <w:rFonts w:ascii="Times New Roman" w:hAnsi="Times New Roman"/>
          <w:bCs/>
          <w:sz w:val="20"/>
          <w:lang w:val="en-US"/>
        </w:rPr>
        <w:t xml:space="preserve"> </w:t>
      </w:r>
      <w:r>
        <w:rPr>
          <w:rFonts w:ascii="Times New Roman" w:hAnsi="Times New Roman"/>
          <w:bCs/>
          <w:sz w:val="20"/>
        </w:rPr>
        <w:t>Lexington 2009.</w:t>
      </w:r>
    </w:p>
  </w:footnote>
  <w:footnote w:id="2">
    <w:p w14:paraId="23A5FAD9"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Peter Aronsson, </w:t>
      </w:r>
      <w:r>
        <w:rPr>
          <w:rFonts w:ascii="Times New Roman" w:hAnsi="Times New Roman"/>
          <w:i/>
          <w:sz w:val="20"/>
          <w:szCs w:val="20"/>
        </w:rPr>
        <w:t xml:space="preserve">Bönder gör politik. Det lokala självstyret som lokal arena i tre Smålandssocknar, </w:t>
      </w:r>
      <w:proofErr w:type="gramStart"/>
      <w:r>
        <w:rPr>
          <w:rFonts w:ascii="Times New Roman" w:hAnsi="Times New Roman"/>
          <w:i/>
          <w:sz w:val="20"/>
          <w:szCs w:val="20"/>
        </w:rPr>
        <w:t>1680-1850</w:t>
      </w:r>
      <w:proofErr w:type="gramEnd"/>
      <w:r>
        <w:rPr>
          <w:rFonts w:ascii="Times New Roman" w:hAnsi="Times New Roman"/>
          <w:sz w:val="20"/>
          <w:szCs w:val="20"/>
        </w:rPr>
        <w:t xml:space="preserve">. Lund 1992; </w:t>
      </w:r>
      <w:r>
        <w:rPr>
          <w:rFonts w:ascii="Times New Roman" w:hAnsi="Times New Roman"/>
          <w:color w:val="000000"/>
          <w:sz w:val="20"/>
          <w:szCs w:val="20"/>
        </w:rPr>
        <w:t xml:space="preserve">Eva Österberg, ”Vardagens sträva samförstånd. Bondepolitik i den svenska modellen från vasatid till frihetstid”, i Gunnar Broberg, Ulla Wikander &amp; Klas Åmark red, </w:t>
      </w:r>
      <w:r>
        <w:rPr>
          <w:rFonts w:ascii="Times New Roman" w:hAnsi="Times New Roman"/>
          <w:i/>
          <w:iCs/>
          <w:color w:val="000000"/>
          <w:sz w:val="20"/>
          <w:szCs w:val="20"/>
        </w:rPr>
        <w:t xml:space="preserve">Tänka, tycka, tro. Svensk historia underifrån. </w:t>
      </w:r>
      <w:r>
        <w:rPr>
          <w:rFonts w:ascii="Times New Roman" w:hAnsi="Times New Roman"/>
          <w:color w:val="000000"/>
          <w:sz w:val="20"/>
          <w:szCs w:val="20"/>
        </w:rPr>
        <w:t>Stockholm 1993, citat s 140.</w:t>
      </w:r>
    </w:p>
  </w:footnote>
  <w:footnote w:id="3">
    <w:p w14:paraId="31951480"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Till exempel har historiematerialistiskt påverkade forskare sett samarbetet mellan LO och SAF som klassamarbete, se till exempel Göran Therborn, ”Nation och klass, tur och skicklighet”, i P </w:t>
      </w:r>
      <w:r>
        <w:rPr>
          <w:rFonts w:ascii="Times New Roman" w:hAnsi="Times New Roman"/>
          <w:sz w:val="20"/>
        </w:rPr>
        <w:t>Thullberg &amp; K Östberg 1994; Walter Korpi, ”Den svenska arbetarrörelsens förutsättningar och strategier”, i P Thullberg &amp; K Östberg 1994.</w:t>
      </w:r>
    </w:p>
  </w:footnote>
  <w:footnote w:id="4">
    <w:p w14:paraId="3F4038C8"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Om förhandlingsbegreppet, se Tore Ellingsen &amp; Jörgen W Weibull, ”Analys av konflikt och samarbete”, i </w:t>
      </w:r>
      <w:r>
        <w:rPr>
          <w:rFonts w:ascii="Times New Roman" w:hAnsi="Times New Roman"/>
          <w:i/>
          <w:sz w:val="20"/>
          <w:szCs w:val="20"/>
        </w:rPr>
        <w:t>Ekonomisk Debatt</w:t>
      </w:r>
      <w:r>
        <w:rPr>
          <w:rFonts w:ascii="Times New Roman" w:hAnsi="Times New Roman"/>
          <w:sz w:val="20"/>
          <w:szCs w:val="20"/>
        </w:rPr>
        <w:t xml:space="preserve"> 2006, s </w:t>
      </w:r>
      <w:proofErr w:type="gramStart"/>
      <w:r>
        <w:rPr>
          <w:rFonts w:ascii="Times New Roman" w:hAnsi="Times New Roman"/>
          <w:sz w:val="20"/>
          <w:szCs w:val="20"/>
        </w:rPr>
        <w:t>31-32</w:t>
      </w:r>
      <w:proofErr w:type="gramEnd"/>
      <w:r>
        <w:rPr>
          <w:rFonts w:ascii="Times New Roman" w:hAnsi="Times New Roman"/>
          <w:sz w:val="20"/>
          <w:szCs w:val="20"/>
        </w:rPr>
        <w:t xml:space="preserve">. Vi använder här begreppet ”risk” fritt efter Ulrich Beck, </w:t>
      </w:r>
      <w:r>
        <w:rPr>
          <w:rFonts w:ascii="Times New Roman" w:hAnsi="Times New Roman"/>
          <w:i/>
          <w:sz w:val="20"/>
          <w:szCs w:val="20"/>
        </w:rPr>
        <w:t>Risksamhället</w:t>
      </w:r>
      <w:r>
        <w:rPr>
          <w:rFonts w:ascii="Times New Roman" w:hAnsi="Times New Roman"/>
          <w:sz w:val="20"/>
          <w:szCs w:val="20"/>
        </w:rPr>
        <w:t>.</w:t>
      </w:r>
      <w:r>
        <w:rPr>
          <w:rFonts w:ascii="Times New Roman" w:hAnsi="Times New Roman"/>
          <w:bCs/>
          <w:sz w:val="20"/>
          <w:szCs w:val="20"/>
        </w:rPr>
        <w:t xml:space="preserve"> Göteborg 2000; och Piotr Sztompka, </w:t>
      </w:r>
      <w:r>
        <w:rPr>
          <w:rFonts w:ascii="Times New Roman" w:hAnsi="Times New Roman"/>
          <w:bCs/>
          <w:i/>
          <w:sz w:val="20"/>
          <w:szCs w:val="20"/>
        </w:rPr>
        <w:t>Trust. A Sociologial Theory</w:t>
      </w:r>
      <w:r>
        <w:rPr>
          <w:rFonts w:ascii="Times New Roman" w:hAnsi="Times New Roman"/>
          <w:bCs/>
          <w:sz w:val="20"/>
          <w:szCs w:val="20"/>
        </w:rPr>
        <w:t xml:space="preserve">. Cambridge 1999, s </w:t>
      </w:r>
      <w:proofErr w:type="gramStart"/>
      <w:r>
        <w:rPr>
          <w:rFonts w:ascii="Times New Roman" w:hAnsi="Times New Roman"/>
          <w:bCs/>
          <w:sz w:val="20"/>
          <w:szCs w:val="20"/>
        </w:rPr>
        <w:t>38-40</w:t>
      </w:r>
      <w:proofErr w:type="gramEnd"/>
      <w:r>
        <w:rPr>
          <w:rFonts w:ascii="Times New Roman" w:hAnsi="Times New Roman"/>
          <w:bCs/>
          <w:sz w:val="20"/>
          <w:szCs w:val="20"/>
        </w:rPr>
        <w:t>.</w:t>
      </w:r>
    </w:p>
  </w:footnote>
  <w:footnote w:id="5">
    <w:p w14:paraId="1DCF3909" w14:textId="77777777" w:rsidR="004850E7" w:rsidRDefault="004850E7">
      <w:pPr>
        <w:pStyle w:val="Fotnotstext"/>
        <w:jc w:val="both"/>
      </w:pPr>
      <w:r>
        <w:rPr>
          <w:rStyle w:val="Fotnotsreferens"/>
        </w:rPr>
        <w:footnoteRef/>
      </w:r>
      <w:r>
        <w:t xml:space="preserve"> </w:t>
      </w:r>
      <w:r>
        <w:rPr>
          <w:rFonts w:ascii="Times New Roman" w:hAnsi="Times New Roman"/>
          <w:sz w:val="20"/>
          <w:szCs w:val="20"/>
        </w:rPr>
        <w:t xml:space="preserve">Tore Ellingsen &amp; Jörgen W Weibull, ”Analys av konflikt och samarbete”, i </w:t>
      </w:r>
      <w:r>
        <w:rPr>
          <w:rFonts w:ascii="Times New Roman" w:hAnsi="Times New Roman"/>
          <w:i/>
          <w:sz w:val="20"/>
          <w:szCs w:val="20"/>
        </w:rPr>
        <w:t>Ekonomisk Debatt</w:t>
      </w:r>
      <w:r>
        <w:rPr>
          <w:rFonts w:ascii="Times New Roman" w:hAnsi="Times New Roman"/>
          <w:sz w:val="20"/>
          <w:szCs w:val="20"/>
        </w:rPr>
        <w:t xml:space="preserve"> 2006, s </w:t>
      </w:r>
      <w:proofErr w:type="gramStart"/>
      <w:r>
        <w:rPr>
          <w:rFonts w:ascii="Times New Roman" w:hAnsi="Times New Roman"/>
          <w:sz w:val="20"/>
          <w:szCs w:val="20"/>
        </w:rPr>
        <w:t>31-32</w:t>
      </w:r>
      <w:proofErr w:type="gramEnd"/>
      <w:r>
        <w:rPr>
          <w:rFonts w:ascii="Times New Roman" w:hAnsi="Times New Roman"/>
          <w:sz w:val="20"/>
          <w:szCs w:val="20"/>
        </w:rPr>
        <w:t>.</w:t>
      </w:r>
    </w:p>
  </w:footnote>
  <w:footnote w:id="6">
    <w:p w14:paraId="31CBC2B8" w14:textId="77777777" w:rsidR="004850E7" w:rsidRDefault="004850E7">
      <w:pPr>
        <w:pStyle w:val="Fotnotstext"/>
      </w:pPr>
      <w:r>
        <w:rPr>
          <w:rStyle w:val="Fotnotsreferens"/>
          <w:rFonts w:ascii="Times New Roman" w:hAnsi="Times New Roman"/>
          <w:sz w:val="20"/>
          <w:szCs w:val="20"/>
        </w:rPr>
        <w:footnoteRef/>
      </w:r>
      <w:r>
        <w:rPr>
          <w:rFonts w:ascii="Times New Roman" w:hAnsi="Times New Roman"/>
          <w:sz w:val="20"/>
          <w:szCs w:val="20"/>
        </w:rPr>
        <w:t xml:space="preserve"> Eva Österberg beskriver för förindustriell tid detta perspektiv i E Österberg 1993, s </w:t>
      </w:r>
      <w:proofErr w:type="gramStart"/>
      <w:r>
        <w:rPr>
          <w:rFonts w:ascii="Times New Roman" w:hAnsi="Times New Roman"/>
          <w:sz w:val="20"/>
          <w:szCs w:val="20"/>
        </w:rPr>
        <w:t>131-33</w:t>
      </w:r>
      <w:proofErr w:type="gramEnd"/>
      <w:r>
        <w:rPr>
          <w:rFonts w:ascii="Times New Roman" w:hAnsi="Times New Roman"/>
          <w:sz w:val="20"/>
          <w:szCs w:val="20"/>
        </w:rPr>
        <w:t>.</w:t>
      </w:r>
    </w:p>
  </w:footnote>
  <w:footnote w:id="7">
    <w:p w14:paraId="70F9EC60" w14:textId="6C76D776" w:rsidR="004850E7" w:rsidRDefault="004850E7">
      <w:pPr>
        <w:pStyle w:val="Fotnotstext"/>
        <w:jc w:val="both"/>
        <w:rPr>
          <w:rFonts w:ascii="Times New Roman" w:hAnsi="Times New Roman"/>
          <w:sz w:val="20"/>
          <w:lang w:val="en-US"/>
        </w:rPr>
      </w:pPr>
      <w:r>
        <w:rPr>
          <w:rStyle w:val="Fotnotsreferens"/>
          <w:rFonts w:ascii="Times New Roman" w:hAnsi="Times New Roman"/>
          <w:sz w:val="20"/>
        </w:rPr>
        <w:footnoteRef/>
      </w:r>
      <w:r>
        <w:rPr>
          <w:rFonts w:ascii="Times New Roman" w:hAnsi="Times New Roman"/>
          <w:sz w:val="20"/>
        </w:rPr>
        <w:t xml:space="preserve"> Se till exempel Björn Horgby, </w:t>
      </w:r>
      <w:r>
        <w:rPr>
          <w:rFonts w:ascii="Times New Roman" w:hAnsi="Times New Roman"/>
          <w:i/>
          <w:iCs/>
          <w:sz w:val="20"/>
        </w:rPr>
        <w:t>Kampen om facket. Den socialdemokratiska hegemonins förändringar</w:t>
      </w:r>
      <w:r>
        <w:rPr>
          <w:rFonts w:ascii="Times New Roman" w:hAnsi="Times New Roman"/>
          <w:sz w:val="20"/>
        </w:rPr>
        <w:t xml:space="preserve">. </w:t>
      </w:r>
      <w:proofErr w:type="spellStart"/>
      <w:r>
        <w:rPr>
          <w:rFonts w:ascii="Times New Roman" w:hAnsi="Times New Roman"/>
          <w:sz w:val="20"/>
          <w:lang w:val="en-US"/>
        </w:rPr>
        <w:t>Umeå</w:t>
      </w:r>
      <w:proofErr w:type="spellEnd"/>
      <w:r>
        <w:rPr>
          <w:rFonts w:ascii="Times New Roman" w:hAnsi="Times New Roman"/>
          <w:sz w:val="20"/>
          <w:lang w:val="en-US"/>
        </w:rPr>
        <w:t xml:space="preserve"> 2012.</w:t>
      </w:r>
    </w:p>
  </w:footnote>
  <w:footnote w:id="8">
    <w:p w14:paraId="3EEE0F6B" w14:textId="77777777" w:rsidR="004850E7" w:rsidRDefault="004850E7">
      <w:pPr>
        <w:pStyle w:val="Fotnotstext"/>
        <w:jc w:val="both"/>
      </w:pPr>
      <w:r>
        <w:rPr>
          <w:rStyle w:val="Fotnotsreferens"/>
        </w:rPr>
        <w:footnoteRef/>
      </w:r>
      <w:r>
        <w:t xml:space="preserve"> </w:t>
      </w:r>
      <w:r>
        <w:rPr>
          <w:rFonts w:ascii="Times New Roman" w:hAnsi="Times New Roman"/>
          <w:sz w:val="20"/>
          <w:szCs w:val="20"/>
        </w:rPr>
        <w:t xml:space="preserve">T Ellingsen &amp; J W Weibull 2006, s </w:t>
      </w:r>
      <w:proofErr w:type="gramStart"/>
      <w:r>
        <w:rPr>
          <w:rFonts w:ascii="Times New Roman" w:hAnsi="Times New Roman"/>
          <w:sz w:val="20"/>
          <w:szCs w:val="20"/>
        </w:rPr>
        <w:t>31-32</w:t>
      </w:r>
      <w:proofErr w:type="gramEnd"/>
      <w:r>
        <w:rPr>
          <w:rFonts w:ascii="Times New Roman" w:hAnsi="Times New Roman"/>
          <w:sz w:val="20"/>
          <w:szCs w:val="20"/>
        </w:rPr>
        <w:t>.</w:t>
      </w:r>
    </w:p>
  </w:footnote>
  <w:footnote w:id="9">
    <w:p w14:paraId="4DD24F1E" w14:textId="3A5795A6"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Till exempel visar K Åmark 1986 hur konfliktnivån i samhället förändrades. Under den tidiga efterkrigstiden var konfliktnivån mycket låg, men detta bör, som vi snart återkommer till, inte vara ett resultat av generellt konsensusskapande</w:t>
      </w:r>
      <w:r w:rsidR="00A93330">
        <w:rPr>
          <w:rFonts w:ascii="Times New Roman" w:hAnsi="Times New Roman"/>
          <w:sz w:val="20"/>
        </w:rPr>
        <w:t>, jfr B Horgby 2012.</w:t>
      </w:r>
    </w:p>
  </w:footnote>
  <w:footnote w:id="10">
    <w:p w14:paraId="1832042C"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lang w:val="en-US"/>
        </w:rPr>
        <w:t xml:space="preserve"> Piotr </w:t>
      </w:r>
      <w:proofErr w:type="spellStart"/>
      <w:r>
        <w:rPr>
          <w:rFonts w:ascii="Times New Roman" w:hAnsi="Times New Roman"/>
          <w:sz w:val="20"/>
          <w:lang w:val="en-US"/>
        </w:rPr>
        <w:t>Sztompka</w:t>
      </w:r>
      <w:proofErr w:type="spellEnd"/>
      <w:r>
        <w:rPr>
          <w:rFonts w:ascii="Times New Roman" w:hAnsi="Times New Roman"/>
          <w:sz w:val="20"/>
          <w:lang w:val="en-US"/>
        </w:rPr>
        <w:t xml:space="preserve"> 1999, s 62, </w:t>
      </w:r>
      <w:proofErr w:type="spellStart"/>
      <w:r>
        <w:rPr>
          <w:rFonts w:ascii="Times New Roman" w:hAnsi="Times New Roman"/>
          <w:sz w:val="20"/>
          <w:lang w:val="en-US"/>
        </w:rPr>
        <w:t>menar</w:t>
      </w:r>
      <w:proofErr w:type="spellEnd"/>
      <w:r>
        <w:rPr>
          <w:rFonts w:ascii="Times New Roman" w:hAnsi="Times New Roman"/>
          <w:sz w:val="20"/>
          <w:lang w:val="en-US"/>
        </w:rPr>
        <w:t xml:space="preserve"> </w:t>
      </w:r>
      <w:proofErr w:type="spellStart"/>
      <w:proofErr w:type="gramStart"/>
      <w:r>
        <w:rPr>
          <w:rFonts w:ascii="Times New Roman" w:hAnsi="Times New Roman"/>
          <w:sz w:val="20"/>
          <w:lang w:val="en-US"/>
        </w:rPr>
        <w:t>att</w:t>
      </w:r>
      <w:proofErr w:type="spellEnd"/>
      <w:r>
        <w:rPr>
          <w:rFonts w:ascii="Times New Roman" w:hAnsi="Times New Roman"/>
          <w:sz w:val="20"/>
          <w:lang w:val="en-US"/>
        </w:rPr>
        <w:t xml:space="preserve"> ”</w:t>
      </w:r>
      <w:r>
        <w:rPr>
          <w:rFonts w:ascii="Times New Roman" w:hAnsi="Times New Roman"/>
          <w:i/>
          <w:iCs/>
          <w:sz w:val="20"/>
          <w:lang w:val="en-US"/>
        </w:rPr>
        <w:t>The</w:t>
      </w:r>
      <w:proofErr w:type="gramEnd"/>
      <w:r>
        <w:rPr>
          <w:rFonts w:ascii="Times New Roman" w:hAnsi="Times New Roman"/>
          <w:i/>
          <w:iCs/>
          <w:sz w:val="20"/>
          <w:lang w:val="en-US"/>
        </w:rPr>
        <w:t xml:space="preserve"> most complex systems of trust appear in a situation of cooperation.</w:t>
      </w:r>
      <w:r>
        <w:rPr>
          <w:rFonts w:ascii="Times New Roman" w:hAnsi="Times New Roman"/>
          <w:sz w:val="20"/>
          <w:lang w:val="en-US"/>
        </w:rPr>
        <w:t xml:space="preserve">” </w:t>
      </w:r>
      <w:r>
        <w:rPr>
          <w:rFonts w:ascii="Times New Roman" w:hAnsi="Times New Roman"/>
          <w:sz w:val="20"/>
        </w:rPr>
        <w:t>Instituationaliserad förhandling bygger på att parterna samarbetar för att nå en förhandlingsöverenskommelse.</w:t>
      </w:r>
    </w:p>
  </w:footnote>
  <w:footnote w:id="11">
    <w:p w14:paraId="51D6D065"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Se till exempel Björn Horgby, </w:t>
      </w:r>
      <w:r>
        <w:rPr>
          <w:rFonts w:ascii="Times New Roman" w:hAnsi="Times New Roman"/>
          <w:i/>
          <w:iCs/>
          <w:sz w:val="20"/>
        </w:rPr>
        <w:t xml:space="preserve">Rock och uppror. Brittisk, amerikansk och svensk rockkultur </w:t>
      </w:r>
      <w:proofErr w:type="gramStart"/>
      <w:r>
        <w:rPr>
          <w:rFonts w:ascii="Times New Roman" w:hAnsi="Times New Roman"/>
          <w:i/>
          <w:iCs/>
          <w:sz w:val="20"/>
        </w:rPr>
        <w:t>1955-69</w:t>
      </w:r>
      <w:proofErr w:type="gramEnd"/>
      <w:r>
        <w:rPr>
          <w:rFonts w:ascii="Times New Roman" w:hAnsi="Times New Roman"/>
          <w:sz w:val="20"/>
        </w:rPr>
        <w:t xml:space="preserve">. Stockholm 2007, s 213-16 som behandlar rebelliskt handlande. Om hegemoni, se B Horgby 2012, särskilt kapitel 3; och i Christer Ericsson, Björn Horgby &amp; Shunji Ishihara, </w:t>
      </w:r>
      <w:r>
        <w:rPr>
          <w:rFonts w:ascii="Times New Roman" w:hAnsi="Times New Roman"/>
          <w:i/>
          <w:iCs/>
          <w:sz w:val="20"/>
        </w:rPr>
        <w:t xml:space="preserve">Faderliga företagare. </w:t>
      </w:r>
      <w:r>
        <w:rPr>
          <w:rFonts w:ascii="Times New Roman" w:hAnsi="Times New Roman"/>
          <w:i/>
          <w:iCs/>
          <w:sz w:val="20"/>
        </w:rPr>
        <w:t>Företagspatriarkalism i Japan och i Sverige</w:t>
      </w:r>
      <w:r>
        <w:rPr>
          <w:rFonts w:ascii="Times New Roman" w:hAnsi="Times New Roman"/>
          <w:sz w:val="20"/>
        </w:rPr>
        <w:t xml:space="preserve">. </w:t>
      </w:r>
      <w:r w:rsidR="00B5550F">
        <w:rPr>
          <w:rFonts w:ascii="Times New Roman" w:hAnsi="Times New Roman"/>
          <w:sz w:val="20"/>
        </w:rPr>
        <w:t>Stockholm 2016</w:t>
      </w:r>
      <w:r>
        <w:rPr>
          <w:rFonts w:ascii="Times New Roman" w:hAnsi="Times New Roman"/>
          <w:sz w:val="20"/>
        </w:rPr>
        <w:t xml:space="preserve">. Ett exempel som används inom nationalekonomisk spelteoretisk forskning är att en förhandling uppstår när två dynamitlastade bilar möts på en smal väg, se </w:t>
      </w:r>
      <w:r>
        <w:rPr>
          <w:rFonts w:ascii="Times New Roman" w:hAnsi="Times New Roman"/>
          <w:sz w:val="20"/>
          <w:szCs w:val="20"/>
        </w:rPr>
        <w:t>T Ellingsen &amp; J W Weibull 2006, s 31.</w:t>
      </w:r>
    </w:p>
  </w:footnote>
  <w:footnote w:id="12">
    <w:p w14:paraId="39058650" w14:textId="77777777" w:rsidR="004850E7" w:rsidRDefault="004850E7">
      <w:pPr>
        <w:pStyle w:val="Fotnotstext"/>
        <w:rPr>
          <w:rFonts w:ascii="Times New Roman" w:hAnsi="Times New Roman"/>
          <w:sz w:val="20"/>
          <w:szCs w:val="20"/>
          <w:lang w:val="de-DE"/>
        </w:rPr>
      </w:pPr>
      <w:r>
        <w:rPr>
          <w:rStyle w:val="Fotnotsreferens"/>
          <w:rFonts w:ascii="Times New Roman" w:hAnsi="Times New Roman"/>
          <w:sz w:val="20"/>
          <w:szCs w:val="20"/>
        </w:rPr>
        <w:footnoteRef/>
      </w:r>
      <w:r>
        <w:rPr>
          <w:rFonts w:ascii="Times New Roman" w:hAnsi="Times New Roman"/>
          <w:sz w:val="20"/>
          <w:szCs w:val="20"/>
          <w:lang w:val="de-DE"/>
        </w:rPr>
        <w:t xml:space="preserve"> </w:t>
      </w:r>
      <w:r>
        <w:rPr>
          <w:rFonts w:ascii="Times New Roman" w:hAnsi="Times New Roman"/>
          <w:sz w:val="20"/>
          <w:szCs w:val="20"/>
          <w:lang w:val="de-DE"/>
        </w:rPr>
        <w:t>E Österberg 1993, s 133-36</w:t>
      </w:r>
    </w:p>
  </w:footnote>
  <w:footnote w:id="13">
    <w:p w14:paraId="23FE79D0" w14:textId="77777777" w:rsidR="004850E7" w:rsidRDefault="004850E7">
      <w:pPr>
        <w:pStyle w:val="Fotnotstext"/>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E Österberg 1993, s </w:t>
      </w:r>
      <w:proofErr w:type="gramStart"/>
      <w:r>
        <w:rPr>
          <w:rFonts w:ascii="Times New Roman" w:hAnsi="Times New Roman"/>
          <w:sz w:val="20"/>
          <w:szCs w:val="20"/>
        </w:rPr>
        <w:t>137-38</w:t>
      </w:r>
      <w:proofErr w:type="gramEnd"/>
    </w:p>
  </w:footnote>
  <w:footnote w:id="14">
    <w:p w14:paraId="7493F6BA" w14:textId="77777777" w:rsidR="004850E7" w:rsidRDefault="004850E7">
      <w:pPr>
        <w:pStyle w:val="Fotnotstext"/>
        <w:jc w:val="both"/>
        <w:rPr>
          <w:lang w:val="en-US"/>
        </w:rPr>
      </w:pPr>
      <w:r>
        <w:rPr>
          <w:rStyle w:val="Fotnotsreferens"/>
        </w:rPr>
        <w:footnoteRef/>
      </w:r>
      <w:r>
        <w:t xml:space="preserve"> </w:t>
      </w:r>
      <w:r>
        <w:rPr>
          <w:rFonts w:ascii="Times New Roman" w:hAnsi="Times New Roman"/>
          <w:sz w:val="20"/>
          <w:szCs w:val="20"/>
        </w:rPr>
        <w:t xml:space="preserve">Markku Markström, </w:t>
      </w:r>
      <w:r>
        <w:rPr>
          <w:rFonts w:ascii="Times New Roman" w:hAnsi="Times New Roman"/>
          <w:i/>
          <w:sz w:val="20"/>
          <w:szCs w:val="20"/>
        </w:rPr>
        <w:t>Facklig förhandlare</w:t>
      </w:r>
      <w:r>
        <w:rPr>
          <w:rFonts w:ascii="Times New Roman" w:hAnsi="Times New Roman"/>
          <w:sz w:val="20"/>
          <w:szCs w:val="20"/>
        </w:rPr>
        <w:t xml:space="preserve">. </w:t>
      </w:r>
      <w:r>
        <w:rPr>
          <w:rFonts w:ascii="Times New Roman" w:hAnsi="Times New Roman"/>
          <w:sz w:val="20"/>
          <w:szCs w:val="20"/>
          <w:lang w:val="en-US"/>
        </w:rPr>
        <w:t>Stockholm 1984, s 32.</w:t>
      </w:r>
    </w:p>
  </w:footnote>
  <w:footnote w:id="15">
    <w:p w14:paraId="6B6D396D" w14:textId="77777777" w:rsidR="004850E7" w:rsidRDefault="004850E7">
      <w:pPr>
        <w:pStyle w:val="Fotnotstext"/>
        <w:jc w:val="both"/>
      </w:pPr>
      <w:r>
        <w:rPr>
          <w:rStyle w:val="Fotnotsreferens"/>
        </w:rPr>
        <w:footnoteRef/>
      </w:r>
      <w:r>
        <w:t xml:space="preserve"> </w:t>
      </w:r>
      <w:r>
        <w:rPr>
          <w:rFonts w:ascii="Times New Roman" w:hAnsi="Times New Roman"/>
          <w:sz w:val="20"/>
          <w:szCs w:val="20"/>
        </w:rPr>
        <w:t xml:space="preserve">Jörgen W Weibull, “Spelteori i nationalekonomin”, i </w:t>
      </w:r>
      <w:r>
        <w:rPr>
          <w:rFonts w:ascii="Times New Roman" w:hAnsi="Times New Roman"/>
          <w:i/>
          <w:sz w:val="20"/>
          <w:szCs w:val="20"/>
        </w:rPr>
        <w:t>Ekonomisk Debatt</w:t>
      </w:r>
      <w:r>
        <w:rPr>
          <w:rFonts w:ascii="Times New Roman" w:hAnsi="Times New Roman"/>
          <w:sz w:val="20"/>
          <w:szCs w:val="20"/>
        </w:rPr>
        <w:t xml:space="preserve"> 1990:3; Ingolf Ståhl, ”Vem tjänar på spelteorin?”, i </w:t>
      </w:r>
      <w:r>
        <w:rPr>
          <w:rFonts w:ascii="Times New Roman" w:hAnsi="Times New Roman"/>
          <w:i/>
          <w:sz w:val="20"/>
          <w:szCs w:val="20"/>
        </w:rPr>
        <w:t>Ekonomisk Debatt</w:t>
      </w:r>
      <w:r>
        <w:rPr>
          <w:rFonts w:ascii="Times New Roman" w:hAnsi="Times New Roman"/>
          <w:sz w:val="20"/>
          <w:szCs w:val="20"/>
        </w:rPr>
        <w:t xml:space="preserve"> 1997:2; Gunnar Fors, ”Kan spelteorin utvärderas empiriskt?”, i </w:t>
      </w:r>
      <w:r>
        <w:rPr>
          <w:rFonts w:ascii="Times New Roman" w:hAnsi="Times New Roman"/>
          <w:i/>
          <w:sz w:val="20"/>
          <w:szCs w:val="20"/>
        </w:rPr>
        <w:t>Ekonomisk Debatt</w:t>
      </w:r>
      <w:r>
        <w:rPr>
          <w:rFonts w:ascii="Times New Roman" w:hAnsi="Times New Roman"/>
          <w:sz w:val="20"/>
          <w:szCs w:val="20"/>
        </w:rPr>
        <w:t xml:space="preserve"> 1997:4; samt T Ellingsen &amp; J W Weibull 2006, s </w:t>
      </w:r>
      <w:proofErr w:type="gramStart"/>
      <w:r>
        <w:rPr>
          <w:rFonts w:ascii="Times New Roman" w:hAnsi="Times New Roman"/>
          <w:sz w:val="20"/>
          <w:szCs w:val="20"/>
        </w:rPr>
        <w:t>30-43</w:t>
      </w:r>
      <w:proofErr w:type="gramEnd"/>
      <w:r>
        <w:rPr>
          <w:rFonts w:ascii="Times New Roman" w:hAnsi="Times New Roman"/>
          <w:sz w:val="20"/>
          <w:szCs w:val="20"/>
        </w:rPr>
        <w:t>.</w:t>
      </w:r>
    </w:p>
  </w:footnote>
  <w:footnote w:id="16">
    <w:p w14:paraId="4DFE1D9F"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Om tillit, se till exempel </w:t>
      </w:r>
      <w:r>
        <w:rPr>
          <w:rFonts w:ascii="Times New Roman" w:hAnsi="Times New Roman"/>
          <w:sz w:val="20"/>
          <w:szCs w:val="20"/>
        </w:rPr>
        <w:t xml:space="preserve">Robert D Putnam, Robert </w:t>
      </w:r>
      <w:proofErr w:type="spellStart"/>
      <w:r>
        <w:rPr>
          <w:rFonts w:ascii="Times New Roman" w:hAnsi="Times New Roman"/>
          <w:sz w:val="20"/>
          <w:szCs w:val="20"/>
        </w:rPr>
        <w:t>Leonardi</w:t>
      </w:r>
      <w:proofErr w:type="spellEnd"/>
      <w:r>
        <w:rPr>
          <w:rFonts w:ascii="Times New Roman" w:hAnsi="Times New Roman"/>
          <w:sz w:val="20"/>
          <w:szCs w:val="20"/>
        </w:rPr>
        <w:t xml:space="preserve"> &amp; </w:t>
      </w:r>
      <w:proofErr w:type="spellStart"/>
      <w:r>
        <w:rPr>
          <w:rFonts w:ascii="Times New Roman" w:hAnsi="Times New Roman"/>
          <w:sz w:val="20"/>
          <w:szCs w:val="20"/>
        </w:rPr>
        <w:t>Raffaella</w:t>
      </w:r>
      <w:proofErr w:type="spellEnd"/>
      <w:r>
        <w:rPr>
          <w:rFonts w:ascii="Times New Roman" w:hAnsi="Times New Roman"/>
          <w:sz w:val="20"/>
          <w:szCs w:val="20"/>
        </w:rPr>
        <w:t xml:space="preserve"> Y </w:t>
      </w:r>
      <w:proofErr w:type="spellStart"/>
      <w:r>
        <w:rPr>
          <w:rFonts w:ascii="Times New Roman" w:hAnsi="Times New Roman"/>
          <w:sz w:val="20"/>
          <w:szCs w:val="20"/>
        </w:rPr>
        <w:t>Nanetti</w:t>
      </w:r>
      <w:proofErr w:type="spellEnd"/>
      <w:r>
        <w:rPr>
          <w:rFonts w:ascii="Times New Roman" w:hAnsi="Times New Roman"/>
          <w:sz w:val="20"/>
          <w:szCs w:val="20"/>
        </w:rPr>
        <w:t xml:space="preserve">, </w:t>
      </w:r>
      <w:r>
        <w:rPr>
          <w:rFonts w:ascii="Times New Roman" w:hAnsi="Times New Roman"/>
          <w:i/>
          <w:color w:val="000000"/>
          <w:sz w:val="20"/>
          <w:szCs w:val="20"/>
        </w:rPr>
        <w:t>Den fungerande demokratin. Medborgarandans rötter i Italien.</w:t>
      </w:r>
      <w:r>
        <w:rPr>
          <w:rFonts w:ascii="Times New Roman" w:hAnsi="Times New Roman"/>
          <w:color w:val="000000"/>
          <w:sz w:val="20"/>
          <w:szCs w:val="20"/>
        </w:rPr>
        <w:t xml:space="preserve"> Stockholm 1996</w:t>
      </w:r>
      <w:r>
        <w:rPr>
          <w:rFonts w:ascii="Times New Roman" w:hAnsi="Times New Roman"/>
          <w:sz w:val="20"/>
        </w:rPr>
        <w:t xml:space="preserve">; </w:t>
      </w:r>
      <w:r>
        <w:rPr>
          <w:rFonts w:ascii="Times New Roman" w:hAnsi="Times New Roman"/>
          <w:bCs/>
          <w:sz w:val="20"/>
          <w:szCs w:val="20"/>
        </w:rPr>
        <w:t xml:space="preserve">Bo Rothstein, </w:t>
      </w:r>
      <w:r>
        <w:rPr>
          <w:rFonts w:ascii="Times New Roman" w:hAnsi="Times New Roman"/>
          <w:bCs/>
          <w:i/>
          <w:iCs/>
          <w:sz w:val="20"/>
          <w:szCs w:val="20"/>
        </w:rPr>
        <w:t>Vad bör staten göra? Om välfärdsstatens moraliska och politiska logik</w:t>
      </w:r>
      <w:r>
        <w:rPr>
          <w:rFonts w:ascii="Times New Roman" w:hAnsi="Times New Roman"/>
          <w:bCs/>
          <w:sz w:val="20"/>
          <w:szCs w:val="20"/>
        </w:rPr>
        <w:t>. Andra upplagan. Stockholm 2006</w:t>
      </w:r>
      <w:r>
        <w:rPr>
          <w:rFonts w:ascii="Times New Roman" w:hAnsi="Times New Roman"/>
          <w:sz w:val="20"/>
        </w:rPr>
        <w:t>.</w:t>
      </w:r>
    </w:p>
  </w:footnote>
  <w:footnote w:id="17">
    <w:p w14:paraId="28C33E78" w14:textId="77777777" w:rsidR="004850E7" w:rsidRDefault="004850E7">
      <w:pPr>
        <w:pStyle w:val="Fotnotstext"/>
        <w:jc w:val="both"/>
      </w:pPr>
      <w:r>
        <w:rPr>
          <w:rStyle w:val="Fotnotsreferens"/>
        </w:rPr>
        <w:footnoteRef/>
      </w:r>
      <w:r>
        <w:t xml:space="preserve"> </w:t>
      </w:r>
      <w:r>
        <w:rPr>
          <w:rFonts w:ascii="Times New Roman" w:hAnsi="Times New Roman"/>
          <w:sz w:val="20"/>
          <w:szCs w:val="20"/>
        </w:rPr>
        <w:t xml:space="preserve">Robert Axelrod, </w:t>
      </w:r>
      <w:r>
        <w:rPr>
          <w:rFonts w:ascii="Times New Roman" w:hAnsi="Times New Roman"/>
          <w:i/>
          <w:sz w:val="20"/>
          <w:szCs w:val="20"/>
        </w:rPr>
        <w:t>Från konflikt till samverkan. Varför egoister samarbetar</w:t>
      </w:r>
      <w:r>
        <w:rPr>
          <w:rFonts w:ascii="Times New Roman" w:hAnsi="Times New Roman"/>
          <w:sz w:val="20"/>
          <w:szCs w:val="20"/>
        </w:rPr>
        <w:t xml:space="preserve">. Stockholm 1987, s </w:t>
      </w:r>
      <w:proofErr w:type="gramStart"/>
      <w:r>
        <w:rPr>
          <w:rFonts w:ascii="Times New Roman" w:hAnsi="Times New Roman"/>
          <w:sz w:val="20"/>
          <w:szCs w:val="20"/>
        </w:rPr>
        <w:t>69-80</w:t>
      </w:r>
      <w:proofErr w:type="gramEnd"/>
      <w:r>
        <w:rPr>
          <w:rFonts w:ascii="Times New Roman" w:hAnsi="Times New Roman"/>
          <w:sz w:val="20"/>
          <w:szCs w:val="20"/>
        </w:rPr>
        <w:t>.</w:t>
      </w:r>
    </w:p>
  </w:footnote>
  <w:footnote w:id="18">
    <w:p w14:paraId="65405609" w14:textId="77777777" w:rsidR="004850E7" w:rsidRDefault="004850E7">
      <w:pPr>
        <w:pStyle w:val="Fotnotstext"/>
        <w:rPr>
          <w:rFonts w:ascii="Times New Roman" w:hAnsi="Times New Roman"/>
          <w:sz w:val="20"/>
          <w:szCs w:val="20"/>
          <w:lang w:val="en-US"/>
        </w:rPr>
      </w:pPr>
      <w:r>
        <w:rPr>
          <w:rStyle w:val="Fotnotsreferens"/>
          <w:rFonts w:ascii="Times New Roman" w:hAnsi="Times New Roman"/>
          <w:sz w:val="20"/>
          <w:szCs w:val="20"/>
        </w:rPr>
        <w:footnoteRef/>
      </w:r>
      <w:r>
        <w:rPr>
          <w:rFonts w:ascii="Times New Roman" w:hAnsi="Times New Roman"/>
          <w:sz w:val="20"/>
          <w:szCs w:val="20"/>
          <w:lang w:val="en-US"/>
        </w:rPr>
        <w:t xml:space="preserve"> Matt Ridley, </w:t>
      </w:r>
      <w:r>
        <w:rPr>
          <w:rFonts w:ascii="Times New Roman" w:hAnsi="Times New Roman"/>
          <w:i/>
          <w:sz w:val="20"/>
          <w:szCs w:val="20"/>
          <w:lang w:val="en-US"/>
        </w:rPr>
        <w:t>The Origins of Virtue</w:t>
      </w:r>
      <w:r>
        <w:rPr>
          <w:rFonts w:ascii="Times New Roman" w:hAnsi="Times New Roman"/>
          <w:sz w:val="20"/>
          <w:szCs w:val="20"/>
          <w:lang w:val="en-US"/>
        </w:rPr>
        <w:t>. London 1996, s 131-33</w:t>
      </w:r>
    </w:p>
  </w:footnote>
  <w:footnote w:id="19">
    <w:p w14:paraId="70318C4E"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Om förhandlingsspelets taktiska sida, se M Markström 1984, s 32.</w:t>
      </w:r>
    </w:p>
  </w:footnote>
  <w:footnote w:id="20">
    <w:p w14:paraId="37E081E6" w14:textId="77777777" w:rsidR="004850E7" w:rsidRDefault="004850E7">
      <w:pPr>
        <w:pStyle w:val="Fotnotstext"/>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T Ellingsen &amp; J Weibull 2006, s 32.</w:t>
      </w:r>
    </w:p>
  </w:footnote>
  <w:footnote w:id="21">
    <w:p w14:paraId="3AE42E3F" w14:textId="77777777" w:rsidR="004850E7" w:rsidRDefault="004850E7">
      <w:pPr>
        <w:pStyle w:val="Fotnotstext"/>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M Markström 1984, s 122</w:t>
      </w:r>
    </w:p>
  </w:footnote>
  <w:footnote w:id="22">
    <w:p w14:paraId="5ECEEA9F" w14:textId="77777777" w:rsidR="004850E7" w:rsidRDefault="004850E7">
      <w:pPr>
        <w:pStyle w:val="Fotnotstext"/>
        <w:jc w:val="both"/>
      </w:pPr>
      <w:r>
        <w:rPr>
          <w:rStyle w:val="Fotnotsreferens"/>
          <w:rFonts w:ascii="Times New Roman" w:hAnsi="Times New Roman"/>
          <w:sz w:val="20"/>
        </w:rPr>
        <w:footnoteRef/>
      </w:r>
      <w:r>
        <w:rPr>
          <w:rFonts w:ascii="Times New Roman" w:hAnsi="Times New Roman"/>
          <w:sz w:val="20"/>
        </w:rPr>
        <w:t xml:space="preserve"> </w:t>
      </w:r>
      <w:r>
        <w:rPr>
          <w:rFonts w:ascii="Times New Roman" w:hAnsi="Times New Roman"/>
          <w:sz w:val="20"/>
          <w:szCs w:val="20"/>
        </w:rPr>
        <w:t xml:space="preserve">R </w:t>
      </w:r>
      <w:r>
        <w:rPr>
          <w:rFonts w:ascii="Times New Roman" w:hAnsi="Times New Roman"/>
          <w:sz w:val="20"/>
          <w:szCs w:val="20"/>
        </w:rPr>
        <w:t>Axelrod Stockholm 1987, s 46 tar upp hur man kan förhålla sig till regelverket.</w:t>
      </w:r>
    </w:p>
  </w:footnote>
  <w:footnote w:id="23">
    <w:p w14:paraId="430BB765"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Pierre Bourdieu, ”Hedern”, i Pierre Bourdieu, </w:t>
      </w:r>
      <w:r>
        <w:rPr>
          <w:rFonts w:ascii="Times New Roman" w:hAnsi="Times New Roman"/>
          <w:i/>
          <w:iCs/>
          <w:sz w:val="20"/>
          <w:szCs w:val="20"/>
        </w:rPr>
        <w:t>Kultursociologiska texter</w:t>
      </w:r>
      <w:r>
        <w:rPr>
          <w:rFonts w:ascii="Times New Roman" w:hAnsi="Times New Roman"/>
          <w:sz w:val="20"/>
          <w:szCs w:val="20"/>
        </w:rPr>
        <w:t xml:space="preserve">. </w:t>
      </w:r>
      <w:r>
        <w:rPr>
          <w:rFonts w:ascii="Times New Roman" w:hAnsi="Times New Roman"/>
          <w:sz w:val="20"/>
          <w:szCs w:val="20"/>
        </w:rPr>
        <w:t>xxx. Jfr R Axelrod 1987, s 45</w:t>
      </w:r>
    </w:p>
  </w:footnote>
  <w:footnote w:id="24">
    <w:p w14:paraId="33876B2B" w14:textId="77777777" w:rsidR="004850E7" w:rsidRDefault="004850E7">
      <w:pPr>
        <w:pStyle w:val="Fotnotstext"/>
      </w:pPr>
      <w:r>
        <w:rPr>
          <w:rStyle w:val="Fotnotsreferens"/>
          <w:rFonts w:ascii="Times New Roman" w:hAnsi="Times New Roman"/>
          <w:sz w:val="20"/>
          <w:szCs w:val="20"/>
        </w:rPr>
        <w:footnoteRef/>
      </w:r>
      <w:r>
        <w:rPr>
          <w:rFonts w:ascii="Times New Roman" w:hAnsi="Times New Roman"/>
          <w:sz w:val="20"/>
          <w:szCs w:val="20"/>
        </w:rPr>
        <w:t xml:space="preserve"> T Ellingsen &amp; J Weibull 2006, s 33</w:t>
      </w:r>
    </w:p>
  </w:footnote>
  <w:footnote w:id="25">
    <w:p w14:paraId="6D27236A" w14:textId="77777777" w:rsidR="004850E7" w:rsidRDefault="004850E7">
      <w:pPr>
        <w:pStyle w:val="Fotnotstext"/>
      </w:pPr>
      <w:r>
        <w:rPr>
          <w:rStyle w:val="Fotnotsreferens"/>
          <w:rFonts w:ascii="Times New Roman" w:hAnsi="Times New Roman"/>
          <w:sz w:val="20"/>
          <w:szCs w:val="20"/>
        </w:rPr>
        <w:footnoteRef/>
      </w:r>
      <w:r>
        <w:rPr>
          <w:rFonts w:ascii="Times New Roman" w:hAnsi="Times New Roman"/>
          <w:sz w:val="20"/>
          <w:szCs w:val="20"/>
        </w:rPr>
        <w:t xml:space="preserve"> T Ellingsen &amp; J Weibull 2006, s 38</w:t>
      </w:r>
    </w:p>
  </w:footnote>
  <w:footnote w:id="26">
    <w:p w14:paraId="11868EB3" w14:textId="77777777" w:rsidR="004850E7" w:rsidRDefault="004850E7">
      <w:pPr>
        <w:pStyle w:val="Fotnotstext"/>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R Axelrod 1987, s </w:t>
      </w:r>
      <w:proofErr w:type="gramStart"/>
      <w:r>
        <w:rPr>
          <w:rFonts w:ascii="Times New Roman" w:hAnsi="Times New Roman"/>
          <w:sz w:val="20"/>
          <w:szCs w:val="20"/>
        </w:rPr>
        <w:t>46-48</w:t>
      </w:r>
      <w:proofErr w:type="gramEnd"/>
    </w:p>
  </w:footnote>
  <w:footnote w:id="27">
    <w:p w14:paraId="721D1FCC"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w:t>
      </w:r>
      <w:r>
        <w:rPr>
          <w:rFonts w:ascii="Times New Roman" w:hAnsi="Times New Roman"/>
          <w:sz w:val="20"/>
          <w:szCs w:val="20"/>
        </w:rPr>
        <w:t xml:space="preserve">Björn Horgby, ”Rädslans regim”, i Eva Blomberg, </w:t>
      </w:r>
      <w:r>
        <w:rPr>
          <w:rFonts w:ascii="Times New Roman" w:hAnsi="Times New Roman"/>
          <w:sz w:val="20"/>
        </w:rPr>
        <w:t xml:space="preserve">Björn Horgby &amp; Lars Kvarnström, </w:t>
      </w:r>
      <w:r>
        <w:rPr>
          <w:rFonts w:ascii="Times New Roman" w:hAnsi="Times New Roman"/>
          <w:i/>
          <w:sz w:val="20"/>
        </w:rPr>
        <w:t>Makt och moral. En vänbok till och med Klas Åmark.</w:t>
      </w:r>
      <w:r>
        <w:rPr>
          <w:rFonts w:ascii="Times New Roman" w:hAnsi="Times New Roman"/>
          <w:sz w:val="20"/>
        </w:rPr>
        <w:t xml:space="preserve"> Linköping 1998; B Horgby 2012, s 105 diskuterar hegemoniska maktrelationer utifrån samma resonemang.</w:t>
      </w:r>
    </w:p>
  </w:footnote>
  <w:footnote w:id="28">
    <w:p w14:paraId="6259CCD8" w14:textId="77777777" w:rsidR="004850E7" w:rsidRDefault="004850E7">
      <w:pPr>
        <w:pStyle w:val="Brdtext"/>
        <w:spacing w:line="240" w:lineRule="auto"/>
        <w:rPr>
          <w:b w:val="0"/>
          <w:i w:val="0"/>
        </w:rPr>
      </w:pPr>
      <w:r>
        <w:rPr>
          <w:rStyle w:val="Fotnotsreferens"/>
          <w:b w:val="0"/>
          <w:i w:val="0"/>
          <w:sz w:val="20"/>
        </w:rPr>
        <w:footnoteRef/>
      </w:r>
      <w:r>
        <w:rPr>
          <w:sz w:val="20"/>
        </w:rPr>
        <w:t xml:space="preserve"> </w:t>
      </w:r>
      <w:r>
        <w:rPr>
          <w:b w:val="0"/>
          <w:i w:val="0"/>
          <w:sz w:val="20"/>
          <w:szCs w:val="20"/>
        </w:rPr>
        <w:t xml:space="preserve">Ronny Ambjörnsson, </w:t>
      </w:r>
      <w:r>
        <w:rPr>
          <w:b w:val="0"/>
          <w:sz w:val="20"/>
          <w:szCs w:val="20"/>
        </w:rPr>
        <w:t>Den skötsamma arbetaren</w:t>
      </w:r>
      <w:r>
        <w:rPr>
          <w:b w:val="0"/>
          <w:i w:val="0"/>
          <w:sz w:val="20"/>
          <w:szCs w:val="20"/>
        </w:rPr>
        <w:t xml:space="preserve">. Stockholm 1988; Björn Horgby, </w:t>
      </w:r>
      <w:r>
        <w:rPr>
          <w:b w:val="0"/>
          <w:sz w:val="20"/>
          <w:szCs w:val="20"/>
        </w:rPr>
        <w:t xml:space="preserve">Egensinne och skötsamhet. Arbetarkulturen i Norrköping </w:t>
      </w:r>
      <w:proofErr w:type="gramStart"/>
      <w:r>
        <w:rPr>
          <w:b w:val="0"/>
          <w:sz w:val="20"/>
          <w:szCs w:val="20"/>
        </w:rPr>
        <w:t>1950-1940</w:t>
      </w:r>
      <w:proofErr w:type="gramEnd"/>
      <w:r>
        <w:rPr>
          <w:b w:val="0"/>
          <w:i w:val="0"/>
          <w:sz w:val="20"/>
          <w:szCs w:val="20"/>
        </w:rPr>
        <w:t xml:space="preserve">. Stockholm 1993; vidareutvecklat i B Horgby 2012, kapitel 11; Torbjörn Andersson, </w:t>
      </w:r>
      <w:r>
        <w:rPr>
          <w:b w:val="0"/>
          <w:sz w:val="20"/>
          <w:szCs w:val="20"/>
        </w:rPr>
        <w:t xml:space="preserve">Kung Fotboll. </w:t>
      </w:r>
      <w:r>
        <w:rPr>
          <w:b w:val="0"/>
          <w:iCs w:val="0"/>
          <w:spacing w:val="0"/>
          <w:sz w:val="20"/>
          <w:szCs w:val="20"/>
        </w:rPr>
        <w:t>D</w:t>
      </w:r>
      <w:r>
        <w:rPr>
          <w:b w:val="0"/>
          <w:iCs w:val="0"/>
          <w:sz w:val="20"/>
          <w:szCs w:val="20"/>
        </w:rPr>
        <w:t>en svenska fotbollens kulturhistoria från 1800-talets slut till 1950</w:t>
      </w:r>
      <w:r>
        <w:rPr>
          <w:b w:val="0"/>
          <w:i w:val="0"/>
          <w:iCs w:val="0"/>
          <w:sz w:val="20"/>
          <w:szCs w:val="20"/>
        </w:rPr>
        <w:t xml:space="preserve">. </w:t>
      </w:r>
      <w:r>
        <w:rPr>
          <w:b w:val="0"/>
          <w:i w:val="0"/>
          <w:sz w:val="20"/>
          <w:szCs w:val="20"/>
        </w:rPr>
        <w:t xml:space="preserve">Stockholm/Stehag 2002; </w:t>
      </w:r>
      <w:r>
        <w:rPr>
          <w:b w:val="0"/>
          <w:i w:val="0"/>
          <w:spacing w:val="0"/>
          <w:sz w:val="20"/>
          <w:szCs w:val="20"/>
        </w:rPr>
        <w:t>Lennart Johansson, ”</w:t>
      </w:r>
      <w:r>
        <w:rPr>
          <w:b w:val="0"/>
          <w:i w:val="0"/>
          <w:sz w:val="20"/>
          <w:szCs w:val="20"/>
        </w:rPr>
        <w:t xml:space="preserve">Stationssamhällets skötsamhet. Om nykterhet som symbol och kulturell markering i sekelskiftets Alvesta”, i Peter Aronsson &amp; Lennart Johansson red, </w:t>
      </w:r>
      <w:r>
        <w:rPr>
          <w:b w:val="0"/>
          <w:iCs w:val="0"/>
          <w:sz w:val="20"/>
          <w:szCs w:val="20"/>
        </w:rPr>
        <w:t>Stationssamhällen</w:t>
      </w:r>
      <w:r>
        <w:rPr>
          <w:b w:val="0"/>
          <w:sz w:val="20"/>
          <w:szCs w:val="20"/>
        </w:rPr>
        <w:t>.</w:t>
      </w:r>
      <w:r>
        <w:rPr>
          <w:b w:val="0"/>
          <w:i w:val="0"/>
          <w:sz w:val="20"/>
          <w:szCs w:val="20"/>
        </w:rPr>
        <w:t xml:space="preserve"> Växjö 1999: </w:t>
      </w:r>
      <w:r>
        <w:rPr>
          <w:b w:val="0"/>
          <w:i w:val="0"/>
          <w:color w:val="000000"/>
          <w:sz w:val="20"/>
          <w:szCs w:val="20"/>
        </w:rPr>
        <w:t xml:space="preserve">Karin Nordberg, ”De skötsamma fruarna i Holmsund”, i </w:t>
      </w:r>
      <w:r>
        <w:rPr>
          <w:b w:val="0"/>
          <w:i w:val="0"/>
          <w:iCs w:val="0"/>
          <w:color w:val="000000"/>
          <w:sz w:val="20"/>
          <w:szCs w:val="20"/>
        </w:rPr>
        <w:t xml:space="preserve">Häften </w:t>
      </w:r>
      <w:r>
        <w:rPr>
          <w:b w:val="0"/>
          <w:iCs w:val="0"/>
          <w:color w:val="000000"/>
          <w:sz w:val="20"/>
          <w:szCs w:val="20"/>
        </w:rPr>
        <w:t>för kritiska studier</w:t>
      </w:r>
      <w:r>
        <w:rPr>
          <w:b w:val="0"/>
          <w:i w:val="0"/>
          <w:color w:val="000000"/>
          <w:sz w:val="20"/>
          <w:szCs w:val="20"/>
        </w:rPr>
        <w:t xml:space="preserve"> nr 2, 1990</w:t>
      </w:r>
      <w:r>
        <w:rPr>
          <w:b w:val="0"/>
          <w:i w:val="0"/>
          <w:sz w:val="20"/>
          <w:szCs w:val="20"/>
        </w:rPr>
        <w:t xml:space="preserve">; </w:t>
      </w:r>
      <w:r>
        <w:rPr>
          <w:b w:val="0"/>
          <w:i w:val="0"/>
          <w:color w:val="444444"/>
          <w:sz w:val="20"/>
          <w:szCs w:val="20"/>
        </w:rPr>
        <w:t xml:space="preserve">Kenneth Strömberg, </w:t>
      </w:r>
      <w:r>
        <w:rPr>
          <w:b w:val="0"/>
          <w:iCs w:val="0"/>
          <w:sz w:val="20"/>
          <w:szCs w:val="20"/>
        </w:rPr>
        <w:t>Vi och dom i rörelsen</w:t>
      </w:r>
      <w:r>
        <w:rPr>
          <w:b w:val="0"/>
          <w:sz w:val="20"/>
          <w:szCs w:val="20"/>
        </w:rPr>
        <w:t xml:space="preserve">. </w:t>
      </w:r>
      <w:r>
        <w:rPr>
          <w:b w:val="0"/>
          <w:iCs w:val="0"/>
          <w:sz w:val="20"/>
          <w:szCs w:val="20"/>
        </w:rPr>
        <w:t xml:space="preserve">Skötsamhet som strategi och identitet bland föreningsaktivisterna i Hovmantorps kommun </w:t>
      </w:r>
      <w:proofErr w:type="gramStart"/>
      <w:r>
        <w:rPr>
          <w:b w:val="0"/>
          <w:iCs w:val="0"/>
          <w:sz w:val="20"/>
          <w:szCs w:val="20"/>
        </w:rPr>
        <w:t>1884-1930</w:t>
      </w:r>
      <w:proofErr w:type="gramEnd"/>
      <w:r>
        <w:rPr>
          <w:b w:val="0"/>
          <w:i w:val="0"/>
          <w:iCs w:val="0"/>
          <w:sz w:val="20"/>
          <w:szCs w:val="20"/>
        </w:rPr>
        <w:t>.</w:t>
      </w:r>
      <w:r>
        <w:rPr>
          <w:b w:val="0"/>
          <w:i w:val="0"/>
          <w:sz w:val="20"/>
          <w:szCs w:val="20"/>
        </w:rPr>
        <w:t xml:space="preserve"> Växjö 2004</w:t>
      </w:r>
      <w:r>
        <w:rPr>
          <w:i w:val="0"/>
          <w:sz w:val="20"/>
        </w:rPr>
        <w:t xml:space="preserve">; </w:t>
      </w:r>
      <w:r>
        <w:rPr>
          <w:b w:val="0"/>
          <w:i w:val="0"/>
          <w:color w:val="000000"/>
          <w:sz w:val="20"/>
          <w:szCs w:val="20"/>
        </w:rPr>
        <w:t>Ylva Waldemarson,</w:t>
      </w:r>
      <w:r>
        <w:rPr>
          <w:b w:val="0"/>
          <w:color w:val="000000"/>
          <w:sz w:val="20"/>
          <w:szCs w:val="20"/>
        </w:rPr>
        <w:t xml:space="preserve"> </w:t>
      </w:r>
      <w:r>
        <w:rPr>
          <w:b w:val="0"/>
          <w:iCs w:val="0"/>
          <w:color w:val="000000"/>
          <w:sz w:val="20"/>
          <w:szCs w:val="20"/>
        </w:rPr>
        <w:t>Kvinnor och klass - en paradoxal skapelseberättelse</w:t>
      </w:r>
      <w:r>
        <w:rPr>
          <w:b w:val="0"/>
          <w:color w:val="000000"/>
          <w:sz w:val="20"/>
          <w:szCs w:val="20"/>
        </w:rPr>
        <w:t xml:space="preserve">. </w:t>
      </w:r>
      <w:proofErr w:type="gramStart"/>
      <w:r>
        <w:rPr>
          <w:b w:val="0"/>
          <w:iCs w:val="0"/>
          <w:color w:val="000000"/>
          <w:sz w:val="20"/>
          <w:szCs w:val="20"/>
        </w:rPr>
        <w:t>LOs</w:t>
      </w:r>
      <w:proofErr w:type="gramEnd"/>
      <w:r>
        <w:rPr>
          <w:b w:val="0"/>
          <w:iCs w:val="0"/>
          <w:color w:val="000000"/>
          <w:sz w:val="20"/>
          <w:szCs w:val="20"/>
        </w:rPr>
        <w:t xml:space="preserve"> kvinnoråd och makten att benämna 1898-1967</w:t>
      </w:r>
      <w:r>
        <w:rPr>
          <w:b w:val="0"/>
          <w:color w:val="000000"/>
          <w:sz w:val="20"/>
          <w:szCs w:val="20"/>
        </w:rPr>
        <w:t xml:space="preserve">. </w:t>
      </w:r>
      <w:r>
        <w:rPr>
          <w:b w:val="0"/>
          <w:i w:val="0"/>
          <w:color w:val="000000"/>
          <w:sz w:val="20"/>
          <w:szCs w:val="20"/>
        </w:rPr>
        <w:t>Stockholm 2000</w:t>
      </w:r>
      <w:r>
        <w:rPr>
          <w:b w:val="0"/>
          <w:i w:val="0"/>
          <w:sz w:val="20"/>
        </w:rPr>
        <w:t xml:space="preserve">, s 70; se även </w:t>
      </w:r>
      <w:r>
        <w:rPr>
          <w:b w:val="0"/>
          <w:i w:val="0"/>
          <w:color w:val="000000"/>
          <w:sz w:val="20"/>
          <w:szCs w:val="20"/>
        </w:rPr>
        <w:t>Kent Waltersson</w:t>
      </w:r>
      <w:r>
        <w:rPr>
          <w:b w:val="0"/>
          <w:color w:val="000000"/>
          <w:sz w:val="20"/>
          <w:szCs w:val="20"/>
        </w:rPr>
        <w:t xml:space="preserve">, </w:t>
      </w:r>
      <w:r>
        <w:rPr>
          <w:b w:val="0"/>
          <w:iCs w:val="0"/>
          <w:sz w:val="20"/>
          <w:szCs w:val="20"/>
        </w:rPr>
        <w:t>Bildning för livet</w:t>
      </w:r>
      <w:r>
        <w:rPr>
          <w:b w:val="0"/>
          <w:sz w:val="20"/>
          <w:szCs w:val="20"/>
        </w:rPr>
        <w:t xml:space="preserve">. </w:t>
      </w:r>
      <w:r>
        <w:rPr>
          <w:b w:val="0"/>
          <w:iCs w:val="0"/>
          <w:sz w:val="20"/>
          <w:szCs w:val="20"/>
        </w:rPr>
        <w:t xml:space="preserve">Framtidsstrategier och bildningssträvanden i Tengene JUF </w:t>
      </w:r>
      <w:proofErr w:type="gramStart"/>
      <w:r>
        <w:rPr>
          <w:b w:val="0"/>
          <w:iCs w:val="0"/>
          <w:sz w:val="20"/>
          <w:szCs w:val="20"/>
        </w:rPr>
        <w:t>1930-1960</w:t>
      </w:r>
      <w:proofErr w:type="gramEnd"/>
      <w:r>
        <w:rPr>
          <w:b w:val="0"/>
          <w:iCs w:val="0"/>
          <w:sz w:val="20"/>
          <w:szCs w:val="20"/>
        </w:rPr>
        <w:t>.</w:t>
      </w:r>
      <w:r>
        <w:rPr>
          <w:b w:val="0"/>
          <w:i w:val="0"/>
          <w:iCs w:val="0"/>
          <w:sz w:val="20"/>
          <w:szCs w:val="20"/>
        </w:rPr>
        <w:t xml:space="preserve"> </w:t>
      </w:r>
      <w:r>
        <w:rPr>
          <w:b w:val="0"/>
          <w:sz w:val="20"/>
          <w:szCs w:val="20"/>
        </w:rPr>
        <w:t xml:space="preserve"> </w:t>
      </w:r>
      <w:r>
        <w:rPr>
          <w:b w:val="0"/>
          <w:i w:val="0"/>
          <w:sz w:val="20"/>
          <w:szCs w:val="20"/>
        </w:rPr>
        <w:t>Linköping</w:t>
      </w:r>
      <w:r>
        <w:rPr>
          <w:sz w:val="20"/>
          <w:szCs w:val="20"/>
        </w:rPr>
        <w:t xml:space="preserve"> </w:t>
      </w:r>
      <w:r>
        <w:rPr>
          <w:b w:val="0"/>
          <w:i w:val="0"/>
          <w:sz w:val="20"/>
          <w:szCs w:val="20"/>
        </w:rPr>
        <w:t>2004</w:t>
      </w:r>
      <w:r>
        <w:rPr>
          <w:b w:val="0"/>
          <w:i w:val="0"/>
        </w:rPr>
        <w:t xml:space="preserve">, </w:t>
      </w:r>
      <w:r>
        <w:rPr>
          <w:b w:val="0"/>
          <w:i w:val="0"/>
          <w:sz w:val="20"/>
        </w:rPr>
        <w:t>om skötsamheten bland landsbygdens föreningsungdom.</w:t>
      </w:r>
    </w:p>
  </w:footnote>
  <w:footnote w:id="29">
    <w:p w14:paraId="2A145E80"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B Horgby 2012, s 337</w:t>
      </w:r>
    </w:p>
  </w:footnote>
  <w:footnote w:id="30">
    <w:p w14:paraId="6A7A1AC8" w14:textId="77777777" w:rsidR="004850E7" w:rsidRDefault="004850E7">
      <w:pPr>
        <w:pStyle w:val="Fotnotstext"/>
        <w:rPr>
          <w:rFonts w:ascii="Times New Roman" w:hAnsi="Times New Roman"/>
          <w:sz w:val="20"/>
          <w:lang w:val="en-US"/>
        </w:rPr>
      </w:pPr>
      <w:r>
        <w:rPr>
          <w:rStyle w:val="Fotnotsreferens"/>
          <w:rFonts w:ascii="Times New Roman" w:hAnsi="Times New Roman"/>
          <w:sz w:val="20"/>
        </w:rPr>
        <w:footnoteRef/>
      </w:r>
      <w:r>
        <w:rPr>
          <w:rFonts w:ascii="Times New Roman" w:hAnsi="Times New Roman"/>
          <w:sz w:val="20"/>
          <w:lang w:val="en-US"/>
        </w:rPr>
        <w:t xml:space="preserve"> B Horgby 2012, s 341</w:t>
      </w:r>
    </w:p>
  </w:footnote>
  <w:footnote w:id="31">
    <w:p w14:paraId="69625307"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w:t>
      </w:r>
      <w:r>
        <w:rPr>
          <w:rFonts w:ascii="Times New Roman" w:hAnsi="Times New Roman"/>
          <w:i/>
          <w:sz w:val="20"/>
        </w:rPr>
        <w:t>Norrköpings föreningsarkiv</w:t>
      </w:r>
      <w:r>
        <w:rPr>
          <w:rFonts w:ascii="Times New Roman" w:hAnsi="Times New Roman"/>
          <w:sz w:val="20"/>
        </w:rPr>
        <w:t xml:space="preserve">, </w:t>
      </w:r>
      <w:r>
        <w:rPr>
          <w:rFonts w:ascii="Times New Roman" w:hAnsi="Times New Roman"/>
          <w:sz w:val="20"/>
        </w:rPr>
        <w:t>Sv Metallindustriarbetareförbundets avd 12, Mötesprotokoll 8/2 § 6 1899.</w:t>
      </w:r>
    </w:p>
  </w:footnote>
  <w:footnote w:id="32">
    <w:p w14:paraId="7C1834B7" w14:textId="77777777" w:rsidR="004850E7" w:rsidRDefault="004850E7">
      <w:pPr>
        <w:pStyle w:val="Fotnotstext"/>
        <w:jc w:val="both"/>
        <w:rPr>
          <w:rFonts w:ascii="Times New Roman" w:hAnsi="Times New Roman"/>
          <w:sz w:val="20"/>
          <w:lang w:val="en-US"/>
        </w:rPr>
      </w:pPr>
      <w:r>
        <w:rPr>
          <w:rStyle w:val="Fotnotsreferens"/>
          <w:rFonts w:ascii="Times New Roman" w:hAnsi="Times New Roman"/>
          <w:sz w:val="20"/>
        </w:rPr>
        <w:footnoteRef/>
      </w:r>
      <w:r>
        <w:rPr>
          <w:rFonts w:ascii="Times New Roman" w:hAnsi="Times New Roman"/>
          <w:sz w:val="20"/>
          <w:lang w:val="en-US"/>
        </w:rPr>
        <w:t xml:space="preserve"> B Horgby 2012, s 333 ff.</w:t>
      </w:r>
    </w:p>
  </w:footnote>
  <w:footnote w:id="33">
    <w:p w14:paraId="47AB5661"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w:t>
      </w:r>
      <w:r>
        <w:rPr>
          <w:rFonts w:ascii="Times New Roman" w:hAnsi="Times New Roman"/>
          <w:i/>
          <w:sz w:val="20"/>
        </w:rPr>
        <w:t>Nordiska museets arkiv</w:t>
      </w:r>
      <w:r>
        <w:rPr>
          <w:rFonts w:ascii="Times New Roman" w:hAnsi="Times New Roman"/>
          <w:sz w:val="20"/>
        </w:rPr>
        <w:t>, Arbetarminnen KU 594 Pappersbruksminnen. Heyman var jurist och andre direktör på SAF, se H De Geer 1986, s 32.</w:t>
      </w:r>
    </w:p>
  </w:footnote>
  <w:footnote w:id="34">
    <w:p w14:paraId="131D917F" w14:textId="77777777" w:rsidR="004850E7" w:rsidRDefault="004850E7">
      <w:pPr>
        <w:pStyle w:val="Fotnotstext"/>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M Markström 1984, s </w:t>
      </w:r>
      <w:proofErr w:type="gramStart"/>
      <w:r>
        <w:rPr>
          <w:rFonts w:ascii="Times New Roman" w:hAnsi="Times New Roman"/>
          <w:sz w:val="20"/>
          <w:szCs w:val="20"/>
        </w:rPr>
        <w:t>18-19</w:t>
      </w:r>
      <w:proofErr w:type="gramEnd"/>
      <w:r>
        <w:rPr>
          <w:rFonts w:ascii="Times New Roman" w:hAnsi="Times New Roman"/>
          <w:sz w:val="20"/>
          <w:szCs w:val="20"/>
        </w:rPr>
        <w:t>, 26, 41</w:t>
      </w:r>
    </w:p>
  </w:footnote>
  <w:footnote w:id="35">
    <w:p w14:paraId="706368D6"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B Horgby 2012, kap 2, </w:t>
      </w:r>
      <w:proofErr w:type="gramStart"/>
      <w:r>
        <w:rPr>
          <w:rFonts w:ascii="Times New Roman" w:hAnsi="Times New Roman"/>
          <w:sz w:val="20"/>
        </w:rPr>
        <w:t>5-8</w:t>
      </w:r>
      <w:proofErr w:type="gramEnd"/>
    </w:p>
  </w:footnote>
  <w:footnote w:id="36">
    <w:p w14:paraId="30B9C052"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B Horgby 2012.</w:t>
      </w:r>
      <w:r>
        <w:rPr>
          <w:rFonts w:ascii="Times New Roman" w:hAnsi="Times New Roman"/>
          <w:sz w:val="20"/>
          <w:szCs w:val="20"/>
        </w:rPr>
        <w:t xml:space="preserve"> Om de lokala förhandlingarna med arbetsgivarparten, se de lokala fackliga organisationerna </w:t>
      </w:r>
      <w:r>
        <w:rPr>
          <w:rFonts w:ascii="Times New Roman" w:hAnsi="Times New Roman"/>
          <w:i/>
          <w:sz w:val="20"/>
          <w:szCs w:val="20"/>
        </w:rPr>
        <w:t xml:space="preserve">Norrköpings föreningsarkiv, </w:t>
      </w:r>
      <w:r>
        <w:rPr>
          <w:rFonts w:ascii="Times New Roman" w:hAnsi="Times New Roman"/>
          <w:sz w:val="20"/>
          <w:szCs w:val="20"/>
        </w:rPr>
        <w:t>Metall 12, Pappers 53 och Textil 1, Mötesprotokoll under 1900-talet.</w:t>
      </w:r>
      <w:r>
        <w:rPr>
          <w:rFonts w:ascii="Times New Roman" w:hAnsi="Times New Roman"/>
          <w:sz w:val="20"/>
        </w:rPr>
        <w:t xml:space="preserve"> </w:t>
      </w:r>
    </w:p>
  </w:footnote>
  <w:footnote w:id="37">
    <w:p w14:paraId="6113D6E3"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B Horgby 2012, kap </w:t>
      </w:r>
      <w:proofErr w:type="gramStart"/>
      <w:r>
        <w:rPr>
          <w:rFonts w:ascii="Times New Roman" w:hAnsi="Times New Roman"/>
          <w:sz w:val="20"/>
        </w:rPr>
        <w:t>5-7</w:t>
      </w:r>
      <w:proofErr w:type="gramEnd"/>
    </w:p>
  </w:footnote>
  <w:footnote w:id="38">
    <w:p w14:paraId="5127BF25"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Detta har bland annat noterats av Ingemar Johansson, </w:t>
      </w:r>
      <w:r>
        <w:rPr>
          <w:rFonts w:ascii="Times New Roman" w:hAnsi="Times New Roman"/>
          <w:i/>
          <w:iCs/>
          <w:sz w:val="20"/>
        </w:rPr>
        <w:t xml:space="preserve">Strejken som vapen. Fackföreningar och strejker i Norrköping </w:t>
      </w:r>
      <w:proofErr w:type="gramStart"/>
      <w:r>
        <w:rPr>
          <w:rFonts w:ascii="Times New Roman" w:hAnsi="Times New Roman"/>
          <w:i/>
          <w:iCs/>
          <w:sz w:val="20"/>
        </w:rPr>
        <w:t>1870-1910</w:t>
      </w:r>
      <w:proofErr w:type="gramEnd"/>
      <w:r>
        <w:rPr>
          <w:rFonts w:ascii="Times New Roman" w:hAnsi="Times New Roman"/>
          <w:sz w:val="20"/>
        </w:rPr>
        <w:t xml:space="preserve">. Stockholm 1982. </w:t>
      </w:r>
    </w:p>
  </w:footnote>
  <w:footnote w:id="39">
    <w:p w14:paraId="7CDCD1DE" w14:textId="3492C39A"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Se Klas Åmark, </w:t>
      </w:r>
      <w:r>
        <w:rPr>
          <w:rFonts w:ascii="Times New Roman" w:hAnsi="Times New Roman"/>
          <w:i/>
          <w:iCs/>
          <w:sz w:val="20"/>
          <w:szCs w:val="20"/>
        </w:rPr>
        <w:t>Maktkamp i byggbransch</w:t>
      </w:r>
      <w:r>
        <w:rPr>
          <w:rFonts w:ascii="Times New Roman" w:hAnsi="Times New Roman"/>
          <w:sz w:val="20"/>
          <w:szCs w:val="20"/>
        </w:rPr>
        <w:t xml:space="preserve">. </w:t>
      </w:r>
      <w:r>
        <w:rPr>
          <w:rFonts w:ascii="Times New Roman" w:hAnsi="Times New Roman"/>
          <w:i/>
          <w:iCs/>
          <w:sz w:val="20"/>
          <w:szCs w:val="20"/>
        </w:rPr>
        <w:t xml:space="preserve">Avtalsrörelser och konflikter i byggbranschen </w:t>
      </w:r>
      <w:proofErr w:type="gramStart"/>
      <w:r>
        <w:rPr>
          <w:rFonts w:ascii="Times New Roman" w:hAnsi="Times New Roman"/>
          <w:i/>
          <w:iCs/>
          <w:sz w:val="20"/>
          <w:szCs w:val="20"/>
        </w:rPr>
        <w:t>1914-1920</w:t>
      </w:r>
      <w:proofErr w:type="gramEnd"/>
      <w:r>
        <w:rPr>
          <w:rFonts w:ascii="Times New Roman" w:hAnsi="Times New Roman"/>
          <w:sz w:val="20"/>
          <w:szCs w:val="20"/>
        </w:rPr>
        <w:t xml:space="preserve">. </w:t>
      </w:r>
      <w:r>
        <w:rPr>
          <w:rFonts w:ascii="Times New Roman" w:hAnsi="Times New Roman"/>
          <w:sz w:val="20"/>
          <w:szCs w:val="20"/>
          <w:lang w:val="en-US"/>
        </w:rPr>
        <w:t xml:space="preserve">Lund </w:t>
      </w:r>
      <w:r>
        <w:rPr>
          <w:rFonts w:ascii="Times New Roman" w:hAnsi="Times New Roman"/>
          <w:sz w:val="20"/>
          <w:lang w:val="en-US"/>
        </w:rPr>
        <w:t xml:space="preserve">1989. </w:t>
      </w:r>
      <w:r>
        <w:rPr>
          <w:rFonts w:ascii="Times New Roman" w:hAnsi="Times New Roman"/>
          <w:sz w:val="20"/>
        </w:rPr>
        <w:t xml:space="preserve">Eva Blomberg, </w:t>
      </w:r>
      <w:r>
        <w:rPr>
          <w:rFonts w:ascii="Times New Roman" w:hAnsi="Times New Roman"/>
          <w:i/>
          <w:iCs/>
          <w:sz w:val="20"/>
          <w:szCs w:val="20"/>
        </w:rPr>
        <w:t>Män i mörker</w:t>
      </w:r>
      <w:r>
        <w:rPr>
          <w:rFonts w:ascii="Times New Roman" w:hAnsi="Times New Roman"/>
          <w:sz w:val="20"/>
          <w:szCs w:val="20"/>
        </w:rPr>
        <w:t xml:space="preserve">. </w:t>
      </w:r>
      <w:r>
        <w:rPr>
          <w:rFonts w:ascii="Times New Roman" w:hAnsi="Times New Roman"/>
          <w:i/>
          <w:iCs/>
          <w:sz w:val="20"/>
          <w:szCs w:val="20"/>
        </w:rPr>
        <w:t>A</w:t>
      </w:r>
      <w:r>
        <w:rPr>
          <w:rFonts w:ascii="Times New Roman" w:hAnsi="Times New Roman"/>
          <w:i/>
          <w:iCs/>
          <w:color w:val="000000"/>
          <w:sz w:val="20"/>
          <w:szCs w:val="20"/>
        </w:rPr>
        <w:t xml:space="preserve">rbetsgivare, reformister och syndikalister. Politik och identitet i svensk gruvindustri </w:t>
      </w:r>
      <w:proofErr w:type="gramStart"/>
      <w:r>
        <w:rPr>
          <w:rFonts w:ascii="Times New Roman" w:hAnsi="Times New Roman"/>
          <w:i/>
          <w:iCs/>
          <w:color w:val="000000"/>
          <w:sz w:val="20"/>
          <w:szCs w:val="20"/>
        </w:rPr>
        <w:t>1910-1940</w:t>
      </w:r>
      <w:proofErr w:type="gramEnd"/>
      <w:r>
        <w:rPr>
          <w:rFonts w:ascii="Times New Roman" w:hAnsi="Times New Roman"/>
          <w:i/>
          <w:iCs/>
          <w:color w:val="000000"/>
          <w:sz w:val="20"/>
          <w:szCs w:val="20"/>
        </w:rPr>
        <w:t xml:space="preserve">. </w:t>
      </w:r>
      <w:r>
        <w:rPr>
          <w:rFonts w:ascii="Times New Roman" w:hAnsi="Times New Roman"/>
          <w:color w:val="000000"/>
          <w:sz w:val="20"/>
          <w:szCs w:val="20"/>
        </w:rPr>
        <w:t>Stockholm</w:t>
      </w:r>
      <w:r>
        <w:rPr>
          <w:color w:val="000000"/>
          <w:szCs w:val="19"/>
        </w:rPr>
        <w:t xml:space="preserve"> </w:t>
      </w:r>
      <w:r>
        <w:rPr>
          <w:rFonts w:ascii="Times New Roman" w:hAnsi="Times New Roman"/>
          <w:sz w:val="20"/>
        </w:rPr>
        <w:t xml:space="preserve">1995, </w:t>
      </w:r>
      <w:r w:rsidR="0055220E">
        <w:rPr>
          <w:rFonts w:ascii="Times New Roman" w:hAnsi="Times New Roman"/>
          <w:sz w:val="20"/>
        </w:rPr>
        <w:t>b</w:t>
      </w:r>
      <w:r>
        <w:rPr>
          <w:rFonts w:ascii="Times New Roman" w:hAnsi="Times New Roman"/>
          <w:sz w:val="20"/>
        </w:rPr>
        <w:t xml:space="preserve">elyser förekomsten av odisciplinerade arbetsgivare inom gruvbranschen. Se även C Lundh 2010, s </w:t>
      </w:r>
      <w:proofErr w:type="gramStart"/>
      <w:r>
        <w:rPr>
          <w:rFonts w:ascii="Times New Roman" w:hAnsi="Times New Roman"/>
          <w:sz w:val="20"/>
        </w:rPr>
        <w:t>108-111</w:t>
      </w:r>
      <w:proofErr w:type="gramEnd"/>
      <w:r>
        <w:rPr>
          <w:rFonts w:ascii="Times New Roman" w:hAnsi="Times New Roman"/>
          <w:sz w:val="20"/>
        </w:rPr>
        <w:t>.</w:t>
      </w:r>
      <w:r>
        <w:rPr>
          <w:rFonts w:ascii="Times New Roman" w:hAnsi="Times New Roman"/>
          <w:sz w:val="20"/>
          <w:szCs w:val="20"/>
        </w:rPr>
        <w:t xml:space="preserve"> Det långsiktiga resultatet av förhandlingskulturens framväxt var, som Klas Åmark 1989, s 57 påpekar: Sverige karaktäriseras av ”</w:t>
      </w:r>
      <w:r>
        <w:rPr>
          <w:rFonts w:ascii="Times New Roman" w:hAnsi="Times New Roman"/>
          <w:i/>
          <w:iCs/>
          <w:sz w:val="20"/>
          <w:szCs w:val="20"/>
        </w:rPr>
        <w:t>ett ovanligt starkt, välorganiserat och förhandlingsinriktat näringsliv, samt en jämförelsevis svag och splittrad medelklass.</w:t>
      </w:r>
      <w:r>
        <w:rPr>
          <w:rFonts w:ascii="Times New Roman" w:hAnsi="Times New Roman"/>
          <w:sz w:val="20"/>
          <w:szCs w:val="20"/>
        </w:rPr>
        <w:t>” Denna slutsats var giltig fram till 1980-talet. Om SAF som kartell och organisation, se H De Geer 1986, s 21, 23 ff.</w:t>
      </w:r>
    </w:p>
  </w:footnote>
  <w:footnote w:id="40">
    <w:p w14:paraId="3E6C3346"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Se till exempel Björn Horgby, </w:t>
      </w:r>
      <w:r>
        <w:rPr>
          <w:rFonts w:ascii="Times New Roman" w:hAnsi="Times New Roman"/>
          <w:i/>
          <w:sz w:val="20"/>
          <w:szCs w:val="20"/>
        </w:rPr>
        <w:t>Surbullestan</w:t>
      </w:r>
      <w:r>
        <w:rPr>
          <w:rFonts w:ascii="Times New Roman" w:hAnsi="Times New Roman"/>
          <w:sz w:val="20"/>
          <w:szCs w:val="20"/>
        </w:rPr>
        <w:t xml:space="preserve">. </w:t>
      </w:r>
      <w:r>
        <w:rPr>
          <w:rFonts w:ascii="Times New Roman" w:hAnsi="Times New Roman"/>
          <w:sz w:val="20"/>
          <w:szCs w:val="20"/>
          <w:lang w:val="en-US"/>
        </w:rPr>
        <w:t>Stockholm 1989, s 77-78, 89-91.</w:t>
      </w:r>
    </w:p>
  </w:footnote>
  <w:footnote w:id="41">
    <w:p w14:paraId="57F7E78F"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I Johansson 1982, s </w:t>
      </w:r>
      <w:proofErr w:type="gramStart"/>
      <w:r>
        <w:rPr>
          <w:rFonts w:ascii="Times New Roman" w:hAnsi="Times New Roman"/>
          <w:sz w:val="20"/>
          <w:szCs w:val="20"/>
        </w:rPr>
        <w:t>43-44</w:t>
      </w:r>
      <w:proofErr w:type="gramEnd"/>
      <w:r>
        <w:rPr>
          <w:rFonts w:ascii="Times New Roman" w:hAnsi="Times New Roman"/>
          <w:sz w:val="20"/>
          <w:szCs w:val="20"/>
        </w:rPr>
        <w:t>.</w:t>
      </w:r>
    </w:p>
  </w:footnote>
  <w:footnote w:id="42">
    <w:p w14:paraId="5C7B3EB3"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Se till exempel I Johansson 1982, s </w:t>
      </w:r>
      <w:proofErr w:type="gramStart"/>
      <w:r>
        <w:rPr>
          <w:rFonts w:ascii="Times New Roman" w:hAnsi="Times New Roman"/>
          <w:sz w:val="20"/>
          <w:szCs w:val="20"/>
        </w:rPr>
        <w:t>44-46</w:t>
      </w:r>
      <w:proofErr w:type="gramEnd"/>
      <w:r>
        <w:rPr>
          <w:rFonts w:ascii="Times New Roman" w:hAnsi="Times New Roman"/>
          <w:sz w:val="20"/>
          <w:szCs w:val="20"/>
        </w:rPr>
        <w:t xml:space="preserve"> </w:t>
      </w:r>
    </w:p>
  </w:footnote>
  <w:footnote w:id="43">
    <w:p w14:paraId="7F214C7D"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C Ericsson, B Horgby &amp; S Ishihara</w:t>
      </w:r>
      <w:r w:rsidR="009E7B48">
        <w:rPr>
          <w:rFonts w:ascii="Times New Roman" w:hAnsi="Times New Roman"/>
          <w:sz w:val="20"/>
          <w:szCs w:val="20"/>
        </w:rPr>
        <w:t xml:space="preserve"> 2016</w:t>
      </w:r>
      <w:r>
        <w:rPr>
          <w:rFonts w:ascii="Times New Roman" w:hAnsi="Times New Roman"/>
          <w:sz w:val="20"/>
          <w:szCs w:val="20"/>
        </w:rPr>
        <w:t>, kapitel 4</w:t>
      </w:r>
      <w:r>
        <w:rPr>
          <w:rFonts w:ascii="Times New Roman" w:hAnsi="Times New Roman"/>
          <w:sz w:val="20"/>
        </w:rPr>
        <w:t>.</w:t>
      </w:r>
      <w:r>
        <w:rPr>
          <w:rFonts w:ascii="Times New Roman" w:hAnsi="Times New Roman"/>
          <w:sz w:val="20"/>
          <w:szCs w:val="20"/>
        </w:rPr>
        <w:t xml:space="preserve"> Om föreningsrättsstrider, se I Johansson 1982 och K Åmark 1986.</w:t>
      </w:r>
    </w:p>
  </w:footnote>
  <w:footnote w:id="44">
    <w:p w14:paraId="3B805417"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I Johansson 1982, s </w:t>
      </w:r>
      <w:proofErr w:type="gramStart"/>
      <w:r>
        <w:rPr>
          <w:rFonts w:ascii="Times New Roman" w:hAnsi="Times New Roman"/>
          <w:sz w:val="20"/>
          <w:szCs w:val="20"/>
        </w:rPr>
        <w:t>44-47</w:t>
      </w:r>
      <w:proofErr w:type="gramEnd"/>
      <w:r>
        <w:rPr>
          <w:rFonts w:ascii="Times New Roman" w:hAnsi="Times New Roman"/>
          <w:sz w:val="20"/>
          <w:szCs w:val="20"/>
        </w:rPr>
        <w:t xml:space="preserve">; jfr Christer Thörnqvist, </w:t>
      </w:r>
      <w:r>
        <w:rPr>
          <w:rFonts w:ascii="Times New Roman" w:hAnsi="Times New Roman"/>
          <w:i/>
          <w:iCs/>
          <w:color w:val="000000"/>
          <w:sz w:val="20"/>
          <w:szCs w:val="20"/>
        </w:rPr>
        <w:t>Arbetarna lämnar fabriken</w:t>
      </w:r>
      <w:r>
        <w:rPr>
          <w:rFonts w:ascii="Times New Roman" w:hAnsi="Times New Roman"/>
          <w:color w:val="000000"/>
          <w:sz w:val="20"/>
          <w:szCs w:val="20"/>
        </w:rPr>
        <w:t xml:space="preserve">. </w:t>
      </w:r>
      <w:r>
        <w:rPr>
          <w:rFonts w:ascii="Times New Roman" w:hAnsi="Times New Roman"/>
          <w:i/>
          <w:iCs/>
          <w:color w:val="000000"/>
          <w:sz w:val="20"/>
          <w:szCs w:val="20"/>
        </w:rPr>
        <w:t>Strejkrörelser i Sverige under efterkrigstiden, deras bakgrund, förlopp och följder.</w:t>
      </w:r>
      <w:r>
        <w:rPr>
          <w:rFonts w:ascii="Times New Roman" w:hAnsi="Times New Roman"/>
          <w:color w:val="000000"/>
          <w:sz w:val="20"/>
          <w:szCs w:val="20"/>
        </w:rPr>
        <w:t xml:space="preserve"> Göteborg 1994</w:t>
      </w:r>
      <w:r>
        <w:rPr>
          <w:rFonts w:ascii="Times New Roman" w:hAnsi="Times New Roman"/>
          <w:sz w:val="20"/>
          <w:szCs w:val="20"/>
        </w:rPr>
        <w:t>, som behandlar strejkrörelser på nationell nivå under efterkrigstiden.</w:t>
      </w:r>
    </w:p>
  </w:footnote>
  <w:footnote w:id="45">
    <w:p w14:paraId="4526D9C9" w14:textId="77777777" w:rsidR="004850E7" w:rsidRDefault="004850E7">
      <w:pPr>
        <w:pStyle w:val="Fotnotstext"/>
        <w:jc w:val="both"/>
        <w:rPr>
          <w:rFonts w:ascii="Times New Roman" w:hAnsi="Times New Roman"/>
          <w:sz w:val="20"/>
          <w:szCs w:val="20"/>
          <w:lang w:val="en-US"/>
        </w:rPr>
      </w:pPr>
      <w:r>
        <w:rPr>
          <w:rStyle w:val="Fotnotsreferens"/>
          <w:rFonts w:ascii="Times New Roman" w:hAnsi="Times New Roman"/>
          <w:sz w:val="20"/>
          <w:szCs w:val="20"/>
        </w:rPr>
        <w:footnoteRef/>
      </w:r>
      <w:r>
        <w:rPr>
          <w:rFonts w:ascii="Times New Roman" w:hAnsi="Times New Roman"/>
          <w:sz w:val="20"/>
          <w:szCs w:val="20"/>
          <w:lang w:val="en-US"/>
        </w:rPr>
        <w:t xml:space="preserve"> C </w:t>
      </w:r>
      <w:proofErr w:type="spellStart"/>
      <w:r>
        <w:rPr>
          <w:rFonts w:ascii="Times New Roman" w:hAnsi="Times New Roman"/>
          <w:sz w:val="20"/>
          <w:szCs w:val="20"/>
          <w:lang w:val="en-US"/>
        </w:rPr>
        <w:t>Lundh</w:t>
      </w:r>
      <w:proofErr w:type="spellEnd"/>
      <w:r>
        <w:rPr>
          <w:rFonts w:ascii="Times New Roman" w:hAnsi="Times New Roman"/>
          <w:sz w:val="20"/>
          <w:szCs w:val="20"/>
          <w:lang w:val="en-US"/>
        </w:rPr>
        <w:t xml:space="preserve"> 2010, s 115, 118-19</w:t>
      </w:r>
    </w:p>
  </w:footnote>
  <w:footnote w:id="46">
    <w:p w14:paraId="7E7DCF47"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lang w:val="en-US"/>
        </w:rPr>
        <w:t xml:space="preserve"> C </w:t>
      </w:r>
      <w:proofErr w:type="spellStart"/>
      <w:r>
        <w:rPr>
          <w:rFonts w:ascii="Times New Roman" w:hAnsi="Times New Roman"/>
          <w:sz w:val="20"/>
          <w:szCs w:val="20"/>
          <w:lang w:val="en-US"/>
        </w:rPr>
        <w:t>Lundh</w:t>
      </w:r>
      <w:proofErr w:type="spellEnd"/>
      <w:r>
        <w:rPr>
          <w:rFonts w:ascii="Times New Roman" w:hAnsi="Times New Roman"/>
          <w:sz w:val="20"/>
          <w:szCs w:val="20"/>
          <w:lang w:val="en-US"/>
        </w:rPr>
        <w:t xml:space="preserve"> 2010, s 117-18, </w:t>
      </w:r>
      <w:proofErr w:type="spellStart"/>
      <w:r>
        <w:rPr>
          <w:rFonts w:ascii="Times New Roman" w:hAnsi="Times New Roman"/>
          <w:sz w:val="20"/>
          <w:szCs w:val="20"/>
          <w:lang w:val="en-US"/>
        </w:rPr>
        <w:t>citat</w:t>
      </w:r>
      <w:proofErr w:type="spellEnd"/>
      <w:r>
        <w:rPr>
          <w:rFonts w:ascii="Times New Roman" w:hAnsi="Times New Roman"/>
          <w:sz w:val="20"/>
          <w:szCs w:val="20"/>
          <w:lang w:val="en-US"/>
        </w:rPr>
        <w:t xml:space="preserve"> s 118. </w:t>
      </w:r>
      <w:r>
        <w:rPr>
          <w:rFonts w:ascii="Times New Roman" w:hAnsi="Times New Roman"/>
          <w:sz w:val="20"/>
          <w:szCs w:val="20"/>
        </w:rPr>
        <w:t xml:space="preserve">Om Verkstadsavtalet, utifrån ett lokalt perspektiv, se Alf Johansson, </w:t>
      </w:r>
      <w:r>
        <w:rPr>
          <w:rFonts w:ascii="Times New Roman" w:hAnsi="Times New Roman"/>
          <w:i/>
          <w:iCs/>
          <w:sz w:val="20"/>
          <w:szCs w:val="20"/>
        </w:rPr>
        <w:t xml:space="preserve">Arbetarrörelsen och taylorismen. Olofström </w:t>
      </w:r>
      <w:proofErr w:type="gramStart"/>
      <w:r>
        <w:rPr>
          <w:rFonts w:ascii="Times New Roman" w:hAnsi="Times New Roman"/>
          <w:i/>
          <w:iCs/>
          <w:sz w:val="20"/>
          <w:szCs w:val="20"/>
        </w:rPr>
        <w:t>1895-1925</w:t>
      </w:r>
      <w:proofErr w:type="gramEnd"/>
      <w:r>
        <w:rPr>
          <w:rFonts w:ascii="Times New Roman" w:hAnsi="Times New Roman"/>
          <w:sz w:val="20"/>
          <w:szCs w:val="20"/>
        </w:rPr>
        <w:t xml:space="preserve">. Lund 1990, s </w:t>
      </w:r>
      <w:proofErr w:type="gramStart"/>
      <w:r>
        <w:rPr>
          <w:rFonts w:ascii="Times New Roman" w:hAnsi="Times New Roman"/>
          <w:sz w:val="20"/>
          <w:szCs w:val="20"/>
        </w:rPr>
        <w:t>37-45</w:t>
      </w:r>
      <w:proofErr w:type="gramEnd"/>
      <w:r>
        <w:rPr>
          <w:rFonts w:ascii="Times New Roman" w:hAnsi="Times New Roman"/>
          <w:sz w:val="20"/>
          <w:szCs w:val="20"/>
        </w:rPr>
        <w:t>.</w:t>
      </w:r>
    </w:p>
  </w:footnote>
  <w:footnote w:id="47">
    <w:p w14:paraId="3B85E023" w14:textId="77777777" w:rsidR="004850E7" w:rsidRDefault="004850E7">
      <w:pPr>
        <w:pStyle w:val="Fotnotstext"/>
        <w:rPr>
          <w:rFonts w:ascii="Times New Roman" w:hAnsi="Times New Roman"/>
          <w:sz w:val="20"/>
          <w:szCs w:val="20"/>
          <w:lang w:val="en-US"/>
        </w:rPr>
      </w:pPr>
      <w:r>
        <w:rPr>
          <w:rStyle w:val="Fotnotsreferens"/>
          <w:rFonts w:ascii="Times New Roman" w:hAnsi="Times New Roman"/>
          <w:sz w:val="20"/>
          <w:szCs w:val="20"/>
        </w:rPr>
        <w:footnoteRef/>
      </w:r>
      <w:r>
        <w:rPr>
          <w:rFonts w:ascii="Times New Roman" w:hAnsi="Times New Roman"/>
          <w:sz w:val="20"/>
          <w:szCs w:val="20"/>
          <w:lang w:val="en-US"/>
        </w:rPr>
        <w:t xml:space="preserve"> C </w:t>
      </w:r>
      <w:proofErr w:type="spellStart"/>
      <w:r>
        <w:rPr>
          <w:rFonts w:ascii="Times New Roman" w:hAnsi="Times New Roman"/>
          <w:sz w:val="20"/>
          <w:szCs w:val="20"/>
          <w:lang w:val="en-US"/>
        </w:rPr>
        <w:t>Lundh</w:t>
      </w:r>
      <w:proofErr w:type="spellEnd"/>
      <w:r>
        <w:rPr>
          <w:rFonts w:ascii="Times New Roman" w:hAnsi="Times New Roman"/>
          <w:sz w:val="20"/>
          <w:szCs w:val="20"/>
          <w:lang w:val="en-US"/>
        </w:rPr>
        <w:t xml:space="preserve"> 2010, s 120</w:t>
      </w:r>
    </w:p>
  </w:footnote>
  <w:footnote w:id="48">
    <w:p w14:paraId="19F4769C" w14:textId="77777777" w:rsidR="004850E7" w:rsidRDefault="004850E7">
      <w:pPr>
        <w:pStyle w:val="Fotnotstext"/>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E Blomberg 1995; C Lundh 2010, s 112 </w:t>
      </w:r>
      <w:r>
        <w:rPr>
          <w:rFonts w:ascii="Times New Roman" w:hAnsi="Times New Roman"/>
          <w:sz w:val="20"/>
          <w:szCs w:val="20"/>
        </w:rPr>
        <w:t xml:space="preserve">ff, </w:t>
      </w:r>
      <w:proofErr w:type="gramStart"/>
      <w:r>
        <w:rPr>
          <w:rFonts w:ascii="Times New Roman" w:hAnsi="Times New Roman"/>
          <w:sz w:val="20"/>
          <w:szCs w:val="20"/>
        </w:rPr>
        <w:t>122-26</w:t>
      </w:r>
      <w:proofErr w:type="gramEnd"/>
      <w:r>
        <w:rPr>
          <w:rFonts w:ascii="Times New Roman" w:hAnsi="Times New Roman"/>
          <w:sz w:val="20"/>
          <w:szCs w:val="20"/>
        </w:rPr>
        <w:t>.</w:t>
      </w:r>
    </w:p>
  </w:footnote>
  <w:footnote w:id="49">
    <w:p w14:paraId="5276F49F" w14:textId="77777777" w:rsidR="004850E7" w:rsidRDefault="004850E7">
      <w:pPr>
        <w:pStyle w:val="Fotnotstext"/>
        <w:jc w:val="both"/>
        <w:rPr>
          <w:rFonts w:ascii="Times New Roman" w:hAnsi="Times New Roman"/>
          <w:sz w:val="20"/>
          <w:szCs w:val="20"/>
          <w:lang w:val="en-US"/>
        </w:rPr>
      </w:pPr>
      <w:r>
        <w:rPr>
          <w:rStyle w:val="Fotnotsreferens"/>
          <w:rFonts w:ascii="Times New Roman" w:hAnsi="Times New Roman"/>
          <w:sz w:val="20"/>
          <w:szCs w:val="20"/>
        </w:rPr>
        <w:footnoteRef/>
      </w:r>
      <w:r>
        <w:rPr>
          <w:rFonts w:ascii="Times New Roman" w:hAnsi="Times New Roman"/>
          <w:sz w:val="20"/>
          <w:szCs w:val="20"/>
          <w:lang w:val="en-US"/>
        </w:rPr>
        <w:t xml:space="preserve"> I Johansson 1982, s 52</w:t>
      </w:r>
    </w:p>
  </w:footnote>
  <w:footnote w:id="50">
    <w:p w14:paraId="38934936"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Om de lokala förhandlingarna med arbetsgivarparten, se de lokala fackliga organisationerna </w:t>
      </w:r>
      <w:r>
        <w:rPr>
          <w:rFonts w:ascii="Times New Roman" w:hAnsi="Times New Roman"/>
          <w:i/>
          <w:sz w:val="20"/>
          <w:szCs w:val="20"/>
        </w:rPr>
        <w:t>Norrköpings föreningsarkiv</w:t>
      </w:r>
      <w:r>
        <w:rPr>
          <w:rFonts w:ascii="Times New Roman" w:hAnsi="Times New Roman"/>
          <w:sz w:val="20"/>
          <w:szCs w:val="20"/>
        </w:rPr>
        <w:t>, Metall 12, Pappers 53 och Textil 1 Mötesprotokoll under 1900-talet.</w:t>
      </w:r>
    </w:p>
  </w:footnote>
  <w:footnote w:id="51">
    <w:p w14:paraId="056C611B"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Förbundens och branschorganisationernas konfliktkassor finansierade konflikterna. Dessa kunde snabbt urholkas om de lokala aktörerna hade rätt att självständigt gå ut i konflikt. Därför fanns starka ekonomiska incitament till att</w:t>
      </w:r>
      <w:r>
        <w:rPr>
          <w:sz w:val="20"/>
        </w:rPr>
        <w:t xml:space="preserve"> </w:t>
      </w:r>
      <w:r>
        <w:rPr>
          <w:rFonts w:ascii="Times New Roman" w:hAnsi="Times New Roman"/>
          <w:sz w:val="20"/>
        </w:rPr>
        <w:t xml:space="preserve">nå förhandlingsöverenskommelser. </w:t>
      </w:r>
    </w:p>
  </w:footnote>
  <w:footnote w:id="52">
    <w:p w14:paraId="29D5FD09"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B Horgby 2012</w:t>
      </w:r>
    </w:p>
  </w:footnote>
  <w:footnote w:id="53">
    <w:p w14:paraId="11590CE7" w14:textId="2D5E943A"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Om konflikterna</w:t>
      </w:r>
      <w:r w:rsidR="00FB76F8">
        <w:rPr>
          <w:rFonts w:ascii="Times New Roman" w:hAnsi="Times New Roman"/>
          <w:sz w:val="20"/>
        </w:rPr>
        <w:t>,</w:t>
      </w:r>
      <w:r>
        <w:rPr>
          <w:rFonts w:ascii="Times New Roman" w:hAnsi="Times New Roman"/>
          <w:sz w:val="20"/>
        </w:rPr>
        <w:t xml:space="preserve"> se K Åmark 1986, s 126, </w:t>
      </w:r>
      <w:proofErr w:type="gramStart"/>
      <w:r>
        <w:rPr>
          <w:rFonts w:ascii="Times New Roman" w:hAnsi="Times New Roman"/>
          <w:sz w:val="20"/>
        </w:rPr>
        <w:t>225-26</w:t>
      </w:r>
      <w:proofErr w:type="gramEnd"/>
      <w:r>
        <w:rPr>
          <w:rFonts w:ascii="Times New Roman" w:hAnsi="Times New Roman"/>
          <w:sz w:val="20"/>
        </w:rPr>
        <w:t>; om konfliktkulturen inom en facklig organisation, se B Horgby 2012, kap 7.</w:t>
      </w:r>
    </w:p>
  </w:footnote>
  <w:footnote w:id="54">
    <w:p w14:paraId="2050AA19"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C Lundh 2010, s </w:t>
      </w:r>
      <w:proofErr w:type="gramStart"/>
      <w:r>
        <w:rPr>
          <w:rFonts w:ascii="Times New Roman" w:hAnsi="Times New Roman"/>
          <w:sz w:val="20"/>
          <w:szCs w:val="20"/>
        </w:rPr>
        <w:t>130-31</w:t>
      </w:r>
      <w:proofErr w:type="gramEnd"/>
      <w:r>
        <w:rPr>
          <w:rFonts w:ascii="Times New Roman" w:hAnsi="Times New Roman"/>
          <w:sz w:val="20"/>
          <w:szCs w:val="20"/>
        </w:rPr>
        <w:t xml:space="preserve">; även Birger Simonsson, ”Den långa vägen till Saltsjöbaden”, </w:t>
      </w:r>
      <w:r>
        <w:rPr>
          <w:rFonts w:ascii="Times New Roman" w:hAnsi="Times New Roman"/>
          <w:sz w:val="20"/>
        </w:rPr>
        <w:t xml:space="preserve">i Sten Edlund m </w:t>
      </w:r>
      <w:r>
        <w:rPr>
          <w:rFonts w:ascii="Times New Roman" w:hAnsi="Times New Roman"/>
          <w:sz w:val="20"/>
        </w:rPr>
        <w:t xml:space="preserve">fl red, </w:t>
      </w:r>
      <w:r>
        <w:rPr>
          <w:rFonts w:ascii="Times New Roman" w:hAnsi="Times New Roman"/>
          <w:i/>
          <w:sz w:val="20"/>
        </w:rPr>
        <w:t xml:space="preserve">Saltsjöbadavtalet 50 år. Forskare och parter begrundar en epok </w:t>
      </w:r>
      <w:proofErr w:type="gramStart"/>
      <w:r>
        <w:rPr>
          <w:rFonts w:ascii="Times New Roman" w:hAnsi="Times New Roman"/>
          <w:i/>
          <w:sz w:val="20"/>
        </w:rPr>
        <w:t>1938-1988</w:t>
      </w:r>
      <w:proofErr w:type="gramEnd"/>
      <w:r>
        <w:rPr>
          <w:rFonts w:ascii="Times New Roman" w:hAnsi="Times New Roman"/>
          <w:i/>
          <w:sz w:val="20"/>
        </w:rPr>
        <w:t>.</w:t>
      </w:r>
      <w:r>
        <w:rPr>
          <w:rFonts w:ascii="Times New Roman" w:hAnsi="Times New Roman"/>
          <w:sz w:val="20"/>
        </w:rPr>
        <w:t xml:space="preserve"> Stockholm 1988, s </w:t>
      </w:r>
      <w:proofErr w:type="gramStart"/>
      <w:r>
        <w:rPr>
          <w:rFonts w:ascii="Times New Roman" w:hAnsi="Times New Roman"/>
          <w:sz w:val="20"/>
        </w:rPr>
        <w:t>41-42</w:t>
      </w:r>
      <w:proofErr w:type="gramEnd"/>
      <w:r>
        <w:rPr>
          <w:rFonts w:ascii="Times New Roman" w:hAnsi="Times New Roman"/>
          <w:sz w:val="20"/>
        </w:rPr>
        <w:t xml:space="preserve">; om lagstiftningen om medling, se Birgitta Nyström, </w:t>
      </w:r>
      <w:r>
        <w:rPr>
          <w:rFonts w:ascii="Times New Roman" w:hAnsi="Times New Roman"/>
          <w:i/>
          <w:sz w:val="20"/>
        </w:rPr>
        <w:t>Medling i arbetstvister. En rättslig studie av det svenska systemet i jämförande nordiskt perspektiv</w:t>
      </w:r>
      <w:r>
        <w:rPr>
          <w:rFonts w:ascii="Times New Roman" w:hAnsi="Times New Roman"/>
          <w:sz w:val="20"/>
        </w:rPr>
        <w:t xml:space="preserve">. Stockholm 1990, s </w:t>
      </w:r>
      <w:proofErr w:type="gramStart"/>
      <w:r>
        <w:rPr>
          <w:rFonts w:ascii="Times New Roman" w:hAnsi="Times New Roman"/>
          <w:sz w:val="20"/>
        </w:rPr>
        <w:t>62-78</w:t>
      </w:r>
      <w:proofErr w:type="gramEnd"/>
      <w:r>
        <w:rPr>
          <w:rFonts w:ascii="Times New Roman" w:hAnsi="Times New Roman"/>
          <w:sz w:val="20"/>
        </w:rPr>
        <w:t>.</w:t>
      </w:r>
    </w:p>
  </w:footnote>
  <w:footnote w:id="55">
    <w:p w14:paraId="519A530E" w14:textId="77777777" w:rsidR="004850E7" w:rsidRDefault="004850E7">
      <w:pPr>
        <w:pStyle w:val="Fotnotstext"/>
        <w:jc w:val="both"/>
        <w:rPr>
          <w:rFonts w:ascii="Times New Roman" w:hAnsi="Times New Roman"/>
          <w:sz w:val="20"/>
          <w:szCs w:val="20"/>
          <w:lang w:val="en-US"/>
        </w:rPr>
      </w:pPr>
      <w:r>
        <w:rPr>
          <w:rStyle w:val="Fotnotsreferens"/>
        </w:rPr>
        <w:footnoteRef/>
      </w:r>
      <w:r>
        <w:t xml:space="preserve"> </w:t>
      </w:r>
      <w:r>
        <w:rPr>
          <w:rFonts w:ascii="Times New Roman" w:hAnsi="Times New Roman"/>
          <w:sz w:val="20"/>
          <w:szCs w:val="20"/>
        </w:rPr>
        <w:t xml:space="preserve">C Lundh 2010, s </w:t>
      </w:r>
      <w:proofErr w:type="gramStart"/>
      <w:r>
        <w:rPr>
          <w:rFonts w:ascii="Times New Roman" w:hAnsi="Times New Roman"/>
          <w:sz w:val="20"/>
          <w:szCs w:val="20"/>
        </w:rPr>
        <w:t>132-33</w:t>
      </w:r>
      <w:proofErr w:type="gramEnd"/>
      <w:r>
        <w:rPr>
          <w:rFonts w:ascii="Times New Roman" w:hAnsi="Times New Roman"/>
          <w:sz w:val="20"/>
          <w:szCs w:val="20"/>
        </w:rPr>
        <w:t xml:space="preserve">; Sten Andersson, </w:t>
      </w:r>
      <w:r>
        <w:rPr>
          <w:rFonts w:ascii="Times New Roman" w:hAnsi="Times New Roman"/>
          <w:i/>
          <w:iCs/>
          <w:color w:val="000000"/>
          <w:sz w:val="20"/>
          <w:szCs w:val="20"/>
        </w:rPr>
        <w:t>Mellan Åkarp och Saltsjöbaden</w:t>
      </w:r>
      <w:r>
        <w:rPr>
          <w:rFonts w:ascii="Times New Roman" w:hAnsi="Times New Roman"/>
          <w:color w:val="000000"/>
          <w:sz w:val="20"/>
          <w:szCs w:val="20"/>
        </w:rPr>
        <w:t xml:space="preserve">. </w:t>
      </w:r>
      <w:r>
        <w:rPr>
          <w:rFonts w:ascii="Times New Roman" w:hAnsi="Times New Roman"/>
          <w:i/>
          <w:iCs/>
          <w:color w:val="000000"/>
          <w:sz w:val="20"/>
          <w:szCs w:val="20"/>
        </w:rPr>
        <w:t xml:space="preserve">En studie av arbetsfredsfrågan i minoritetsparlamentarismens Sverige </w:t>
      </w:r>
      <w:proofErr w:type="gramStart"/>
      <w:r>
        <w:rPr>
          <w:rFonts w:ascii="Times New Roman" w:hAnsi="Times New Roman"/>
          <w:i/>
          <w:iCs/>
          <w:color w:val="000000"/>
          <w:sz w:val="20"/>
          <w:szCs w:val="20"/>
        </w:rPr>
        <w:t>1923-1928</w:t>
      </w:r>
      <w:proofErr w:type="gramEnd"/>
      <w:r>
        <w:rPr>
          <w:rFonts w:ascii="Times New Roman" w:hAnsi="Times New Roman"/>
          <w:i/>
          <w:iCs/>
          <w:color w:val="000000"/>
          <w:sz w:val="20"/>
          <w:szCs w:val="20"/>
        </w:rPr>
        <w:t>.</w:t>
      </w:r>
      <w:r>
        <w:rPr>
          <w:rFonts w:ascii="Times New Roman" w:hAnsi="Times New Roman"/>
          <w:color w:val="000000"/>
          <w:sz w:val="20"/>
          <w:szCs w:val="20"/>
        </w:rPr>
        <w:t xml:space="preserve"> </w:t>
      </w:r>
      <w:r>
        <w:rPr>
          <w:rFonts w:ascii="Times New Roman" w:hAnsi="Times New Roman"/>
          <w:color w:val="000000"/>
          <w:sz w:val="20"/>
          <w:szCs w:val="20"/>
          <w:lang w:val="en-US"/>
        </w:rPr>
        <w:t xml:space="preserve">Stockholm </w:t>
      </w:r>
      <w:r>
        <w:rPr>
          <w:rFonts w:ascii="Times New Roman" w:hAnsi="Times New Roman"/>
          <w:sz w:val="20"/>
          <w:szCs w:val="20"/>
          <w:lang w:val="en-US"/>
        </w:rPr>
        <w:t xml:space="preserve">1990; B </w:t>
      </w:r>
      <w:proofErr w:type="spellStart"/>
      <w:r>
        <w:rPr>
          <w:rFonts w:ascii="Times New Roman" w:hAnsi="Times New Roman"/>
          <w:sz w:val="20"/>
          <w:szCs w:val="20"/>
          <w:lang w:val="en-US"/>
        </w:rPr>
        <w:t>Simonsson</w:t>
      </w:r>
      <w:proofErr w:type="spellEnd"/>
      <w:r>
        <w:rPr>
          <w:rFonts w:ascii="Times New Roman" w:hAnsi="Times New Roman"/>
          <w:sz w:val="20"/>
          <w:szCs w:val="20"/>
          <w:lang w:val="en-US"/>
        </w:rPr>
        <w:t xml:space="preserve"> 1988, s 43-45. </w:t>
      </w:r>
    </w:p>
  </w:footnote>
  <w:footnote w:id="56">
    <w:p w14:paraId="28710EFD"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lang w:val="en-US"/>
        </w:rPr>
        <w:t xml:space="preserve"> </w:t>
      </w:r>
      <w:r>
        <w:rPr>
          <w:rFonts w:ascii="Times New Roman" w:hAnsi="Times New Roman"/>
          <w:sz w:val="20"/>
          <w:szCs w:val="20"/>
          <w:lang w:val="en-US"/>
        </w:rPr>
        <w:t>C Ericsson, B Horgby &amp; S Ishihara.</w:t>
      </w:r>
      <w:r>
        <w:rPr>
          <w:rFonts w:ascii="Times New Roman" w:hAnsi="Times New Roman"/>
          <w:sz w:val="20"/>
          <w:lang w:val="en-US"/>
        </w:rPr>
        <w:t xml:space="preserve"> </w:t>
      </w:r>
      <w:r>
        <w:rPr>
          <w:rFonts w:ascii="Times New Roman" w:hAnsi="Times New Roman"/>
          <w:sz w:val="20"/>
        </w:rPr>
        <w:t>Enskilda ledande företrädare för fackföreningsrörelsen anammade emellertid konsensusperspektivet, jfr Anders L Johansson, “Saltsjöbadspolitikens förhistoria”, i S Edlund 1988, s 24 ff.</w:t>
      </w:r>
    </w:p>
  </w:footnote>
  <w:footnote w:id="57">
    <w:p w14:paraId="1458BDA7" w14:textId="77777777" w:rsidR="004850E7" w:rsidRDefault="004850E7">
      <w:pPr>
        <w:pStyle w:val="Fotnotstext"/>
        <w:jc w:val="both"/>
        <w:rPr>
          <w:rFonts w:ascii="Times New Roman" w:hAnsi="Times New Roman"/>
          <w:sz w:val="20"/>
          <w:szCs w:val="20"/>
          <w:lang w:val="en-US"/>
        </w:rPr>
      </w:pPr>
      <w:r>
        <w:rPr>
          <w:rStyle w:val="Fotnotsreferens"/>
          <w:rFonts w:ascii="Times New Roman" w:hAnsi="Times New Roman"/>
          <w:sz w:val="20"/>
          <w:szCs w:val="20"/>
        </w:rPr>
        <w:footnoteRef/>
      </w:r>
      <w:r>
        <w:rPr>
          <w:rFonts w:ascii="Times New Roman" w:hAnsi="Times New Roman"/>
          <w:sz w:val="20"/>
          <w:szCs w:val="20"/>
          <w:lang w:val="en-US"/>
        </w:rPr>
        <w:t xml:space="preserve"> C </w:t>
      </w:r>
      <w:proofErr w:type="spellStart"/>
      <w:r>
        <w:rPr>
          <w:rFonts w:ascii="Times New Roman" w:hAnsi="Times New Roman"/>
          <w:sz w:val="20"/>
          <w:szCs w:val="20"/>
          <w:lang w:val="en-US"/>
        </w:rPr>
        <w:t>Lundh</w:t>
      </w:r>
      <w:proofErr w:type="spellEnd"/>
      <w:r>
        <w:rPr>
          <w:rFonts w:ascii="Times New Roman" w:hAnsi="Times New Roman"/>
          <w:sz w:val="20"/>
          <w:szCs w:val="20"/>
          <w:lang w:val="en-US"/>
        </w:rPr>
        <w:t xml:space="preserve"> 2010, s 128-29; K </w:t>
      </w:r>
      <w:proofErr w:type="spellStart"/>
      <w:r>
        <w:rPr>
          <w:rFonts w:ascii="Times New Roman" w:hAnsi="Times New Roman"/>
          <w:sz w:val="20"/>
          <w:szCs w:val="20"/>
          <w:lang w:val="en-US"/>
        </w:rPr>
        <w:t>Åmark</w:t>
      </w:r>
      <w:proofErr w:type="spellEnd"/>
      <w:r>
        <w:rPr>
          <w:rFonts w:ascii="Times New Roman" w:hAnsi="Times New Roman"/>
          <w:sz w:val="20"/>
          <w:szCs w:val="20"/>
          <w:lang w:val="en-US"/>
        </w:rPr>
        <w:t xml:space="preserve"> 1986, s 225-26.</w:t>
      </w:r>
    </w:p>
  </w:footnote>
  <w:footnote w:id="58">
    <w:p w14:paraId="2B707CEC" w14:textId="2A39546D"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Ingemar Johansson 1982 visar detta mycket tydligt.</w:t>
      </w:r>
    </w:p>
  </w:footnote>
  <w:footnote w:id="59">
    <w:p w14:paraId="157527A1" w14:textId="77777777" w:rsidR="004850E7" w:rsidRDefault="004850E7">
      <w:pPr>
        <w:pStyle w:val="Fotnotstext"/>
        <w:jc w:val="both"/>
      </w:pPr>
      <w:r>
        <w:rPr>
          <w:rStyle w:val="Fotnotsreferens"/>
        </w:rPr>
        <w:footnoteRef/>
      </w:r>
      <w:r>
        <w:t xml:space="preserve"> </w:t>
      </w:r>
      <w:r>
        <w:rPr>
          <w:rFonts w:ascii="Times New Roman" w:hAnsi="Times New Roman"/>
          <w:sz w:val="20"/>
        </w:rPr>
        <w:t>Om förändringarna i lönenivån under den tidiga efterkrigstiden, se C Lundh 2010, s 197</w:t>
      </w:r>
    </w:p>
  </w:footnote>
  <w:footnote w:id="60">
    <w:p w14:paraId="4A7E0050"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rPr>
        <w:t xml:space="preserve">C Ericsson, B Horgby &amp; S Ishihara kapitel 2 och 5; om den ekonomiska utvecklingen, se C Lundh 2010, s 235; B Simonsson 1988, s </w:t>
      </w:r>
      <w:proofErr w:type="gramStart"/>
      <w:r>
        <w:rPr>
          <w:rFonts w:ascii="Times New Roman" w:hAnsi="Times New Roman"/>
          <w:sz w:val="20"/>
        </w:rPr>
        <w:t>49-51</w:t>
      </w:r>
      <w:proofErr w:type="gramEnd"/>
      <w:r>
        <w:rPr>
          <w:rFonts w:ascii="Times New Roman" w:hAnsi="Times New Roman"/>
          <w:sz w:val="20"/>
        </w:rPr>
        <w:t>.</w:t>
      </w:r>
    </w:p>
  </w:footnote>
  <w:footnote w:id="61">
    <w:p w14:paraId="5EDED913"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C Lundh 2010, s 172 </w:t>
      </w:r>
      <w:r>
        <w:rPr>
          <w:rFonts w:ascii="Times New Roman" w:hAnsi="Times New Roman"/>
          <w:sz w:val="20"/>
          <w:szCs w:val="20"/>
        </w:rPr>
        <w:t>ff; om avtalet, se Sten Edlund, ”Saltsjöbadsavtalet i närbild”, i S Edlund 1988, s 53 ff. Edlund menar att själva Saltsjöbadsavtalets reglering av förhandlingsordningen motsvarades av de regler som fanns i de branschvisa riksavtalen. Nu skapades dock en ”</w:t>
      </w:r>
      <w:r>
        <w:rPr>
          <w:rFonts w:ascii="Times New Roman" w:hAnsi="Times New Roman"/>
          <w:i/>
          <w:iCs/>
          <w:sz w:val="20"/>
          <w:szCs w:val="20"/>
        </w:rPr>
        <w:t>mer enhetlig och detaljerad ordning för arbetsmarknaden.</w:t>
      </w:r>
      <w:r>
        <w:rPr>
          <w:rFonts w:ascii="Times New Roman" w:hAnsi="Times New Roman"/>
          <w:sz w:val="20"/>
          <w:szCs w:val="20"/>
        </w:rPr>
        <w:t>” Dessutom bidrog det till ”</w:t>
      </w:r>
      <w:r>
        <w:rPr>
          <w:rFonts w:ascii="Times New Roman" w:hAnsi="Times New Roman"/>
          <w:i/>
          <w:iCs/>
          <w:sz w:val="20"/>
          <w:szCs w:val="20"/>
        </w:rPr>
        <w:t>att ytterligare stärka förhandlingsinstrumentet och möjliggöra tvistelösande i godo utan tillgripande av vare sig stridsåtgärder eller rättegång</w:t>
      </w:r>
      <w:r>
        <w:rPr>
          <w:rFonts w:ascii="Times New Roman" w:hAnsi="Times New Roman"/>
          <w:sz w:val="20"/>
          <w:szCs w:val="20"/>
        </w:rPr>
        <w:t xml:space="preserve">”, S Edlund 1988 s 58 och s 59; jfr Anders L Johansson &amp; Lars Magnusson, </w:t>
      </w:r>
      <w:r>
        <w:rPr>
          <w:rFonts w:ascii="Times New Roman" w:hAnsi="Times New Roman"/>
          <w:i/>
          <w:sz w:val="20"/>
          <w:szCs w:val="20"/>
        </w:rPr>
        <w:t>LO andra halvseklet. Fackföreningsrörelsen och samhället.</w:t>
      </w:r>
      <w:r>
        <w:rPr>
          <w:rFonts w:ascii="Times New Roman" w:hAnsi="Times New Roman"/>
          <w:sz w:val="20"/>
          <w:szCs w:val="20"/>
        </w:rPr>
        <w:t xml:space="preserve"> Stockholm 1998, s </w:t>
      </w:r>
      <w:proofErr w:type="gramStart"/>
      <w:r>
        <w:rPr>
          <w:rFonts w:ascii="Times New Roman" w:hAnsi="Times New Roman"/>
          <w:sz w:val="20"/>
          <w:szCs w:val="20"/>
        </w:rPr>
        <w:t>17-23</w:t>
      </w:r>
      <w:proofErr w:type="gramEnd"/>
      <w:r>
        <w:rPr>
          <w:rFonts w:ascii="Times New Roman" w:hAnsi="Times New Roman"/>
          <w:sz w:val="20"/>
          <w:szCs w:val="20"/>
        </w:rPr>
        <w:t xml:space="preserve">. </w:t>
      </w:r>
    </w:p>
  </w:footnote>
  <w:footnote w:id="62">
    <w:p w14:paraId="263A89D7"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w:t>
      </w:r>
      <w:r>
        <w:rPr>
          <w:rFonts w:ascii="Times New Roman" w:hAnsi="Times New Roman"/>
          <w:sz w:val="20"/>
          <w:szCs w:val="20"/>
        </w:rPr>
        <w:t>C Ericsson, B Horgby &amp; S Ishihara kapitel 6;</w:t>
      </w:r>
      <w:r>
        <w:rPr>
          <w:rFonts w:ascii="Times New Roman" w:hAnsi="Times New Roman"/>
          <w:sz w:val="20"/>
        </w:rPr>
        <w:t xml:space="preserve"> se även C Lundh 2010, s </w:t>
      </w:r>
      <w:proofErr w:type="gramStart"/>
      <w:r>
        <w:rPr>
          <w:rFonts w:ascii="Times New Roman" w:hAnsi="Times New Roman"/>
          <w:sz w:val="20"/>
        </w:rPr>
        <w:t>186-87</w:t>
      </w:r>
      <w:proofErr w:type="gramEnd"/>
      <w:r>
        <w:rPr>
          <w:rFonts w:ascii="Times New Roman" w:hAnsi="Times New Roman"/>
          <w:sz w:val="20"/>
        </w:rPr>
        <w:t>; även Inge Janérus, ”Företagsnämnderna en parentes”, i S Edlund 1988.</w:t>
      </w:r>
    </w:p>
  </w:footnote>
  <w:footnote w:id="63">
    <w:p w14:paraId="2EC6D213"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Bernt Schiller, “En skandinavisk demokratimodell inför framtiden”, i S Edlund 1988, s </w:t>
      </w:r>
      <w:proofErr w:type="gramStart"/>
      <w:r>
        <w:rPr>
          <w:rFonts w:ascii="Times New Roman" w:hAnsi="Times New Roman"/>
          <w:sz w:val="20"/>
        </w:rPr>
        <w:t>228-29</w:t>
      </w:r>
      <w:proofErr w:type="gramEnd"/>
      <w:r>
        <w:rPr>
          <w:rFonts w:ascii="Times New Roman" w:hAnsi="Times New Roman"/>
          <w:sz w:val="20"/>
        </w:rPr>
        <w:t>; om lagstiftningen och särskilt medlingsinstitutet, se även B Nyström 1990, s 88-97; om LO och medbestämmandefrågorna, se A L Johansson &amp; L Magnusson 1998, kap 6.</w:t>
      </w:r>
    </w:p>
  </w:footnote>
  <w:footnote w:id="64">
    <w:p w14:paraId="1C75FBFF"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Lars Ekdahl, </w:t>
      </w:r>
      <w:r>
        <w:rPr>
          <w:rFonts w:ascii="Times New Roman" w:hAnsi="Times New Roman"/>
          <w:i/>
          <w:iCs/>
          <w:sz w:val="20"/>
        </w:rPr>
        <w:t>Mot en tredje väg</w:t>
      </w:r>
      <w:r>
        <w:rPr>
          <w:rFonts w:ascii="Times New Roman" w:hAnsi="Times New Roman"/>
          <w:sz w:val="20"/>
        </w:rPr>
        <w:t xml:space="preserve">. </w:t>
      </w:r>
      <w:r>
        <w:rPr>
          <w:rFonts w:ascii="Times New Roman" w:hAnsi="Times New Roman"/>
          <w:i/>
          <w:iCs/>
          <w:sz w:val="20"/>
        </w:rPr>
        <w:t>En biografi över Rudolf Meidner. 1. tysk flykting och svensk modell.</w:t>
      </w:r>
      <w:r>
        <w:rPr>
          <w:rFonts w:ascii="Times New Roman" w:hAnsi="Times New Roman"/>
          <w:sz w:val="20"/>
        </w:rPr>
        <w:t xml:space="preserve"> Lund 2001; Lars Ekdahl, </w:t>
      </w:r>
      <w:r>
        <w:rPr>
          <w:rFonts w:ascii="Times New Roman" w:hAnsi="Times New Roman"/>
          <w:i/>
          <w:iCs/>
          <w:sz w:val="20"/>
        </w:rPr>
        <w:t>Mot en tredje väg. En biografi över Rudolf Meidner. 2. Facklig expert och demokratisk socialist</w:t>
      </w:r>
      <w:r>
        <w:rPr>
          <w:rFonts w:ascii="Times New Roman" w:hAnsi="Times New Roman"/>
          <w:sz w:val="20"/>
        </w:rPr>
        <w:t xml:space="preserve">. Lund 2005; om </w:t>
      </w:r>
      <w:proofErr w:type="gramStart"/>
      <w:r>
        <w:rPr>
          <w:rFonts w:ascii="Times New Roman" w:hAnsi="Times New Roman"/>
          <w:sz w:val="20"/>
        </w:rPr>
        <w:t>SAFs</w:t>
      </w:r>
      <w:proofErr w:type="gramEnd"/>
      <w:r>
        <w:rPr>
          <w:rFonts w:ascii="Times New Roman" w:hAnsi="Times New Roman"/>
          <w:sz w:val="20"/>
        </w:rPr>
        <w:t xml:space="preserve"> roll i de centraliserade förhandlingarna, se H De Geer 1986, från och med s 110. </w:t>
      </w:r>
      <w:r>
        <w:rPr>
          <w:rFonts w:ascii="Times New Roman" w:hAnsi="Times New Roman"/>
          <w:sz w:val="20"/>
          <w:szCs w:val="20"/>
        </w:rPr>
        <w:t xml:space="preserve">Om den solidariska lönepolitiken, se s A L Johansson &amp; L Magnusson 1998, s </w:t>
      </w:r>
      <w:proofErr w:type="gramStart"/>
      <w:r>
        <w:rPr>
          <w:rFonts w:ascii="Times New Roman" w:hAnsi="Times New Roman"/>
          <w:sz w:val="20"/>
          <w:szCs w:val="20"/>
        </w:rPr>
        <w:t>47-76</w:t>
      </w:r>
      <w:proofErr w:type="gramEnd"/>
      <w:r>
        <w:rPr>
          <w:rFonts w:ascii="Times New Roman" w:hAnsi="Times New Roman"/>
          <w:sz w:val="20"/>
          <w:szCs w:val="20"/>
        </w:rPr>
        <w:t xml:space="preserve">; om de samordnade förhandlingarna, se s 86-108. </w:t>
      </w:r>
      <w:r>
        <w:rPr>
          <w:rFonts w:ascii="Times New Roman" w:hAnsi="Times New Roman"/>
          <w:sz w:val="20"/>
        </w:rPr>
        <w:t xml:space="preserve">Om Svenska Metallindustriarbetareförbundet och de nationella förhandlingarna, se Conny Johannesson, </w:t>
      </w:r>
      <w:r>
        <w:rPr>
          <w:rFonts w:ascii="Times New Roman" w:hAnsi="Times New Roman"/>
          <w:i/>
          <w:sz w:val="20"/>
        </w:rPr>
        <w:t>De centrala avtalsförhandlingarna och den fackliga demokratin. Studier över Svenska Metallindustriarbetareförbundets förhandlingsorganisation vid förbundsförhandlingar – med samordning</w:t>
      </w:r>
      <w:r>
        <w:rPr>
          <w:rFonts w:ascii="Times New Roman" w:hAnsi="Times New Roman"/>
          <w:sz w:val="20"/>
        </w:rPr>
        <w:t>. Lund 1975.</w:t>
      </w:r>
    </w:p>
  </w:footnote>
  <w:footnote w:id="65">
    <w:p w14:paraId="755117FC"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C Ericsson, B Horgby </w:t>
      </w:r>
      <w:r>
        <w:rPr>
          <w:rFonts w:ascii="Times New Roman" w:hAnsi="Times New Roman"/>
          <w:sz w:val="20"/>
        </w:rPr>
        <w:t xml:space="preserve">&amp; S Ishihara </w:t>
      </w:r>
      <w:r w:rsidR="00FB25BA">
        <w:rPr>
          <w:rFonts w:ascii="Times New Roman" w:hAnsi="Times New Roman"/>
          <w:sz w:val="20"/>
        </w:rPr>
        <w:t>2016</w:t>
      </w:r>
      <w:r>
        <w:rPr>
          <w:rFonts w:ascii="Times New Roman" w:hAnsi="Times New Roman"/>
          <w:sz w:val="20"/>
        </w:rPr>
        <w:t xml:space="preserve">; om de ekonomiska förändringarna, se C Lundh 2010, s 235, 239 ff, 258 ff. Se även N Elvander 1988, s </w:t>
      </w:r>
      <w:proofErr w:type="gramStart"/>
      <w:r>
        <w:rPr>
          <w:rFonts w:ascii="Times New Roman" w:hAnsi="Times New Roman"/>
          <w:sz w:val="20"/>
        </w:rPr>
        <w:t>134-35</w:t>
      </w:r>
      <w:proofErr w:type="gramEnd"/>
      <w:r>
        <w:rPr>
          <w:rFonts w:ascii="Times New Roman" w:hAnsi="Times New Roman"/>
          <w:sz w:val="20"/>
        </w:rPr>
        <w:t>; även A L Johansson &amp; L Magnusson 1998, s 248-299, som blottlägger motsättningarna inom LO-kollektivet.</w:t>
      </w:r>
    </w:p>
  </w:footnote>
  <w:footnote w:id="66">
    <w:p w14:paraId="43122126" w14:textId="3E241B90"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C Lundh 2010, s 181 ff; Anders L Johansson, </w:t>
      </w:r>
      <w:r>
        <w:rPr>
          <w:rFonts w:ascii="Times New Roman" w:hAnsi="Times New Roman"/>
          <w:i/>
          <w:iCs/>
          <w:sz w:val="20"/>
        </w:rPr>
        <w:t>Tillväxt och klassamarbete – en studie i den av den svenska modellens uppkomst</w:t>
      </w:r>
      <w:r>
        <w:rPr>
          <w:rFonts w:ascii="Times New Roman" w:hAnsi="Times New Roman"/>
          <w:sz w:val="20"/>
        </w:rPr>
        <w:t xml:space="preserve">. Stockholm 1989; </w:t>
      </w:r>
      <w:r>
        <w:rPr>
          <w:rFonts w:ascii="Times New Roman" w:hAnsi="Times New Roman"/>
          <w:sz w:val="20"/>
          <w:szCs w:val="20"/>
        </w:rPr>
        <w:t>Det fanns både en samtida och sentida vänsterkritik mot avtalet, som menade att det klavband arbetarnas kampmöjligheter, se Alf Johansson, ”Arbetarklassen och Saltsjöbaden 1938: perspektiv ovan- och underifrån”, i S Edlund 1988, s 72 ff.</w:t>
      </w:r>
    </w:p>
  </w:footnote>
  <w:footnote w:id="67">
    <w:p w14:paraId="298E795C"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C Lundh 2010, s 227, jfr A L Johansson &amp; L Magnusson 1998, s 111, som menar att parterna hade rejäla ”vedergällningshot” till sitt förfogande.</w:t>
      </w:r>
    </w:p>
  </w:footnote>
  <w:footnote w:id="68">
    <w:p w14:paraId="59D28DFF" w14:textId="74CD36B8"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Fast en sådan samarbets- eller klassamarbetsideologi förekom bland många patriarkaliska företagare ända sedan mitten av 1920-talet, se C Ericsson, B Horgby &amp; S </w:t>
      </w:r>
      <w:proofErr w:type="spellStart"/>
      <w:r>
        <w:rPr>
          <w:rFonts w:ascii="Times New Roman" w:hAnsi="Times New Roman"/>
          <w:sz w:val="20"/>
        </w:rPr>
        <w:t>Ishihara</w:t>
      </w:r>
      <w:proofErr w:type="spellEnd"/>
      <w:r>
        <w:rPr>
          <w:rFonts w:ascii="Times New Roman" w:hAnsi="Times New Roman"/>
          <w:sz w:val="20"/>
        </w:rPr>
        <w:t xml:space="preserve"> </w:t>
      </w:r>
      <w:r w:rsidR="0040659E">
        <w:rPr>
          <w:rFonts w:ascii="Times New Roman" w:hAnsi="Times New Roman"/>
          <w:sz w:val="20"/>
        </w:rPr>
        <w:t>2016.</w:t>
      </w:r>
    </w:p>
  </w:footnote>
  <w:footnote w:id="69">
    <w:p w14:paraId="7D9E45BA"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H De Geer 1986, s </w:t>
      </w:r>
      <w:proofErr w:type="gramStart"/>
      <w:r>
        <w:rPr>
          <w:rFonts w:ascii="Times New Roman" w:hAnsi="Times New Roman"/>
          <w:sz w:val="20"/>
        </w:rPr>
        <w:t>130-234</w:t>
      </w:r>
      <w:proofErr w:type="gramEnd"/>
      <w:r>
        <w:rPr>
          <w:rFonts w:ascii="Times New Roman" w:hAnsi="Times New Roman"/>
          <w:sz w:val="20"/>
        </w:rPr>
        <w:t xml:space="preserve">. De Geer undersöker ingående förhandlingsspelet och visar hur stora klyftorna mellan parterna kunde vara. Den förda lönepolitiken fick konsekvenser för framför allt låglönebranscherna. Därför var de interna konflikterna vanliga inom SAF, se H De Geer 1986, s </w:t>
      </w:r>
      <w:proofErr w:type="gramStart"/>
      <w:r>
        <w:rPr>
          <w:rFonts w:ascii="Times New Roman" w:hAnsi="Times New Roman"/>
          <w:sz w:val="20"/>
        </w:rPr>
        <w:t>173-78</w:t>
      </w:r>
      <w:proofErr w:type="gramEnd"/>
      <w:r>
        <w:rPr>
          <w:rFonts w:ascii="Times New Roman" w:hAnsi="Times New Roman"/>
          <w:sz w:val="20"/>
        </w:rPr>
        <w:t>, 183-84. Se även A L Johansson &amp; L Magnusson 1998, s 86-108.</w:t>
      </w:r>
    </w:p>
  </w:footnote>
  <w:footnote w:id="70">
    <w:p w14:paraId="3BE5E576"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H De Geer 1986, s 349, </w:t>
      </w:r>
      <w:proofErr w:type="gramStart"/>
      <w:r>
        <w:rPr>
          <w:rFonts w:ascii="Times New Roman" w:hAnsi="Times New Roman"/>
          <w:sz w:val="20"/>
        </w:rPr>
        <w:t>355-56</w:t>
      </w:r>
      <w:proofErr w:type="gramEnd"/>
      <w:r>
        <w:rPr>
          <w:rFonts w:ascii="Times New Roman" w:hAnsi="Times New Roman"/>
          <w:sz w:val="20"/>
        </w:rPr>
        <w:t>, 362-63.</w:t>
      </w:r>
    </w:p>
  </w:footnote>
  <w:footnote w:id="71">
    <w:p w14:paraId="7DA0A120"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Detta visades inte minst av att de moderna patriarkaliska företagarna använde de fackliga organisationerna som förhandlingspart, se C Ericsson, B Horgby &amp; S </w:t>
      </w:r>
      <w:proofErr w:type="spellStart"/>
      <w:r>
        <w:rPr>
          <w:rFonts w:ascii="Times New Roman" w:hAnsi="Times New Roman"/>
          <w:sz w:val="20"/>
        </w:rPr>
        <w:t>Ishihara</w:t>
      </w:r>
      <w:proofErr w:type="spellEnd"/>
      <w:r>
        <w:rPr>
          <w:rFonts w:ascii="Times New Roman" w:hAnsi="Times New Roman"/>
          <w:sz w:val="20"/>
        </w:rPr>
        <w:t xml:space="preserve"> </w:t>
      </w:r>
      <w:r w:rsidR="00264BB6">
        <w:rPr>
          <w:rFonts w:ascii="Times New Roman" w:hAnsi="Times New Roman"/>
          <w:sz w:val="20"/>
        </w:rPr>
        <w:t>2016</w:t>
      </w:r>
      <w:r>
        <w:rPr>
          <w:rFonts w:ascii="Times New Roman" w:hAnsi="Times New Roman"/>
          <w:sz w:val="20"/>
        </w:rPr>
        <w:t xml:space="preserve">. Se även E Blomberg 1995; Karl Molin, </w:t>
      </w:r>
      <w:r>
        <w:rPr>
          <w:rFonts w:ascii="Times New Roman" w:hAnsi="Times New Roman"/>
          <w:i/>
          <w:iCs/>
          <w:color w:val="000000"/>
          <w:sz w:val="20"/>
          <w:lang w:eastAsia="en-US"/>
        </w:rPr>
        <w:t xml:space="preserve">Den moderne patriarken. Om arbetsledarna och samhällsomvandlingen </w:t>
      </w:r>
      <w:proofErr w:type="gramStart"/>
      <w:r>
        <w:rPr>
          <w:rFonts w:ascii="Times New Roman" w:hAnsi="Times New Roman"/>
          <w:i/>
          <w:iCs/>
          <w:color w:val="000000"/>
          <w:sz w:val="20"/>
          <w:lang w:eastAsia="en-US"/>
        </w:rPr>
        <w:t>1905-1935</w:t>
      </w:r>
      <w:proofErr w:type="gramEnd"/>
      <w:r>
        <w:rPr>
          <w:rFonts w:ascii="Times New Roman" w:hAnsi="Times New Roman"/>
          <w:color w:val="000000"/>
          <w:sz w:val="20"/>
          <w:lang w:eastAsia="en-US"/>
        </w:rPr>
        <w:t>, Stockholm 1998;</w:t>
      </w:r>
      <w:r>
        <w:rPr>
          <w:color w:val="000000"/>
          <w:sz w:val="20"/>
          <w:lang w:eastAsia="en-US"/>
        </w:rPr>
        <w:t xml:space="preserve"> </w:t>
      </w:r>
      <w:r>
        <w:rPr>
          <w:rFonts w:ascii="Times New Roman" w:hAnsi="Times New Roman"/>
          <w:sz w:val="20"/>
        </w:rPr>
        <w:t xml:space="preserve">och </w:t>
      </w:r>
      <w:r>
        <w:rPr>
          <w:rFonts w:ascii="Times New Roman" w:hAnsi="Times New Roman"/>
          <w:color w:val="000000"/>
          <w:sz w:val="20"/>
          <w:szCs w:val="19"/>
        </w:rPr>
        <w:t xml:space="preserve">Therese </w:t>
      </w:r>
      <w:r>
        <w:rPr>
          <w:rFonts w:ascii="Times New Roman" w:hAnsi="Times New Roman"/>
          <w:sz w:val="20"/>
        </w:rPr>
        <w:t>Nordlund</w:t>
      </w:r>
      <w:r>
        <w:rPr>
          <w:rFonts w:ascii="Times New Roman" w:hAnsi="Times New Roman"/>
          <w:sz w:val="20"/>
          <w:szCs w:val="16"/>
        </w:rPr>
        <w:t xml:space="preserve">, </w:t>
      </w:r>
      <w:r>
        <w:rPr>
          <w:rFonts w:ascii="Times New Roman" w:hAnsi="Times New Roman"/>
          <w:i/>
          <w:sz w:val="20"/>
        </w:rPr>
        <w:t>Att leda storföretag: en studie om social kompetens och entreprenörskap i näringslivet med fokus på Axel Ax:son Johnson och J. Sigfrid Edström, 1900-1950</w:t>
      </w:r>
      <w:r>
        <w:rPr>
          <w:rFonts w:ascii="Times New Roman" w:hAnsi="Times New Roman"/>
          <w:sz w:val="20"/>
          <w:szCs w:val="16"/>
        </w:rPr>
        <w:t xml:space="preserve">, </w:t>
      </w:r>
      <w:r>
        <w:rPr>
          <w:rFonts w:ascii="Times New Roman" w:hAnsi="Times New Roman"/>
          <w:sz w:val="20"/>
        </w:rPr>
        <w:t>Stockholm 2005.</w:t>
      </w:r>
    </w:p>
  </w:footnote>
  <w:footnote w:id="72">
    <w:p w14:paraId="165250D9" w14:textId="77777777" w:rsidR="004850E7" w:rsidRDefault="004850E7">
      <w:pPr>
        <w:pStyle w:val="Fotnotstext"/>
        <w:jc w:val="both"/>
        <w:rPr>
          <w:lang w:val="en-US"/>
        </w:rPr>
      </w:pPr>
      <w:r>
        <w:rPr>
          <w:rStyle w:val="Fotnotsreferens"/>
          <w:rFonts w:ascii="Times New Roman" w:hAnsi="Times New Roman"/>
          <w:sz w:val="20"/>
        </w:rPr>
        <w:footnoteRef/>
      </w:r>
      <w:r>
        <w:rPr>
          <w:rFonts w:ascii="Times New Roman" w:hAnsi="Times New Roman"/>
          <w:sz w:val="20"/>
        </w:rPr>
        <w:t xml:space="preserve"> Bo Rothstein, </w:t>
      </w:r>
      <w:r>
        <w:rPr>
          <w:rFonts w:ascii="Times New Roman" w:hAnsi="Times New Roman"/>
          <w:i/>
          <w:iCs/>
          <w:sz w:val="20"/>
        </w:rPr>
        <w:t>Den socialdemokratiska staten</w:t>
      </w:r>
      <w:r>
        <w:rPr>
          <w:rFonts w:ascii="Times New Roman" w:hAnsi="Times New Roman"/>
          <w:sz w:val="20"/>
        </w:rPr>
        <w:t>. Lund 1986; densamme, ”Mellan stat och klass. Korporatismen som klasskampens reformistiska institutio</w:t>
      </w:r>
      <w:r>
        <w:rPr>
          <w:rFonts w:ascii="Times New Roman" w:hAnsi="Times New Roman"/>
          <w:sz w:val="20"/>
        </w:rPr>
        <w:softHyphen/>
        <w:t xml:space="preserve">nalisering”, i </w:t>
      </w:r>
      <w:r>
        <w:rPr>
          <w:rFonts w:ascii="Times New Roman" w:hAnsi="Times New Roman"/>
          <w:i/>
          <w:iCs/>
          <w:sz w:val="20"/>
        </w:rPr>
        <w:t>Arkiv för studier i arbetarrörelsens historia</w:t>
      </w:r>
      <w:r>
        <w:rPr>
          <w:rFonts w:ascii="Times New Roman" w:hAnsi="Times New Roman"/>
          <w:sz w:val="20"/>
        </w:rPr>
        <w:t xml:space="preserve"> nr </w:t>
      </w:r>
      <w:proofErr w:type="gramStart"/>
      <w:r>
        <w:rPr>
          <w:rFonts w:ascii="Times New Roman" w:hAnsi="Times New Roman"/>
          <w:sz w:val="20"/>
        </w:rPr>
        <w:t>98-99</w:t>
      </w:r>
      <w:proofErr w:type="gramEnd"/>
      <w:r>
        <w:rPr>
          <w:rFonts w:ascii="Times New Roman" w:hAnsi="Times New Roman"/>
          <w:sz w:val="20"/>
        </w:rPr>
        <w:t xml:space="preserve">. </w:t>
      </w:r>
      <w:r>
        <w:rPr>
          <w:rFonts w:ascii="Times New Roman" w:hAnsi="Times New Roman"/>
          <w:sz w:val="20"/>
          <w:lang w:val="en-US"/>
        </w:rPr>
        <w:t>2009.</w:t>
      </w:r>
    </w:p>
  </w:footnote>
  <w:footnote w:id="73">
    <w:p w14:paraId="6EF450FF" w14:textId="77777777" w:rsidR="004850E7" w:rsidRDefault="004850E7">
      <w:pPr>
        <w:pStyle w:val="Fotnotstext"/>
        <w:jc w:val="both"/>
        <w:rPr>
          <w:rFonts w:ascii="Times New Roman" w:hAnsi="Times New Roman"/>
          <w:sz w:val="20"/>
          <w:lang w:val="en-US"/>
        </w:rPr>
      </w:pPr>
      <w:r>
        <w:rPr>
          <w:rStyle w:val="Fotnotsreferens"/>
          <w:rFonts w:ascii="Times New Roman" w:hAnsi="Times New Roman"/>
          <w:sz w:val="20"/>
        </w:rPr>
        <w:footnoteRef/>
      </w:r>
      <w:r>
        <w:rPr>
          <w:rFonts w:ascii="Times New Roman" w:hAnsi="Times New Roman"/>
          <w:sz w:val="20"/>
          <w:lang w:val="en-US"/>
        </w:rPr>
        <w:t xml:space="preserve"> B Horgby 2012, s 259-67</w:t>
      </w:r>
    </w:p>
  </w:footnote>
  <w:footnote w:id="74">
    <w:p w14:paraId="2DD4415F"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Se till exempel G Esping Andersen 1990.</w:t>
      </w:r>
    </w:p>
  </w:footnote>
  <w:footnote w:id="75">
    <w:p w14:paraId="42DCA15E" w14:textId="77777777" w:rsidR="004850E7" w:rsidRDefault="004850E7">
      <w:pPr>
        <w:pStyle w:val="Fotnotstext"/>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Anna Friberg, </w:t>
      </w:r>
      <w:r>
        <w:rPr>
          <w:rFonts w:ascii="Times New Roman" w:hAnsi="Times New Roman"/>
          <w:i/>
          <w:iCs/>
          <w:sz w:val="20"/>
        </w:rPr>
        <w:t xml:space="preserve">Demokrati bortom politiken. En begreppshistorisk analys av demokratibegreppet inom Sveriges socialdemokratiska arbetareparti </w:t>
      </w:r>
      <w:proofErr w:type="gramStart"/>
      <w:r>
        <w:rPr>
          <w:rFonts w:ascii="Times New Roman" w:hAnsi="Times New Roman"/>
          <w:i/>
          <w:iCs/>
          <w:sz w:val="20"/>
        </w:rPr>
        <w:t>1919-1939</w:t>
      </w:r>
      <w:proofErr w:type="gramEnd"/>
      <w:r>
        <w:rPr>
          <w:rFonts w:ascii="Times New Roman" w:hAnsi="Times New Roman"/>
          <w:sz w:val="20"/>
        </w:rPr>
        <w:t xml:space="preserve">. Stockholm 2012, </w:t>
      </w:r>
      <w:proofErr w:type="gramStart"/>
      <w:r>
        <w:rPr>
          <w:rFonts w:ascii="Times New Roman" w:hAnsi="Times New Roman"/>
          <w:sz w:val="20"/>
        </w:rPr>
        <w:t>218-19</w:t>
      </w:r>
      <w:proofErr w:type="gramEnd"/>
      <w:r>
        <w:rPr>
          <w:rFonts w:ascii="Times New Roman" w:hAnsi="Times New Roman"/>
          <w:sz w:val="20"/>
        </w:rPr>
        <w:t>.</w:t>
      </w:r>
    </w:p>
  </w:footnote>
  <w:footnote w:id="76">
    <w:p w14:paraId="25277468" w14:textId="77777777" w:rsidR="004850E7" w:rsidRDefault="004850E7">
      <w:pPr>
        <w:pStyle w:val="Fotnotstext"/>
        <w:jc w:val="both"/>
        <w:rPr>
          <w:rFonts w:ascii="Times New Roman" w:hAnsi="Times New Roman"/>
          <w:sz w:val="20"/>
          <w:szCs w:val="20"/>
        </w:rPr>
      </w:pPr>
      <w:r>
        <w:rPr>
          <w:rStyle w:val="Fotnotsreferens"/>
          <w:rFonts w:ascii="Times New Roman" w:hAnsi="Times New Roman"/>
          <w:sz w:val="20"/>
          <w:szCs w:val="20"/>
        </w:rPr>
        <w:footnoteRef/>
      </w:r>
      <w:r>
        <w:rPr>
          <w:rFonts w:ascii="Times New Roman" w:hAnsi="Times New Roman"/>
          <w:sz w:val="20"/>
          <w:szCs w:val="20"/>
        </w:rPr>
        <w:t xml:space="preserve"> Om tvångssteriliseringarna, se till exempel </w:t>
      </w:r>
      <w:r>
        <w:rPr>
          <w:rFonts w:ascii="Times New Roman" w:hAnsi="Times New Roman"/>
          <w:bCs/>
          <w:sz w:val="20"/>
          <w:szCs w:val="20"/>
        </w:rPr>
        <w:t xml:space="preserve">Maija </w:t>
      </w:r>
      <w:r>
        <w:rPr>
          <w:rFonts w:ascii="Times New Roman" w:hAnsi="Times New Roman"/>
          <w:bCs/>
          <w:sz w:val="20"/>
          <w:szCs w:val="20"/>
        </w:rPr>
        <w:t>Runcis</w:t>
      </w:r>
      <w:r>
        <w:rPr>
          <w:rFonts w:ascii="Times New Roman" w:hAnsi="Times New Roman"/>
          <w:b/>
          <w:bCs/>
          <w:sz w:val="20"/>
          <w:szCs w:val="20"/>
        </w:rPr>
        <w:t xml:space="preserve">, </w:t>
      </w:r>
      <w:r>
        <w:rPr>
          <w:rFonts w:ascii="Times New Roman" w:hAnsi="Times New Roman"/>
          <w:bCs/>
          <w:i/>
          <w:iCs/>
          <w:sz w:val="20"/>
          <w:szCs w:val="20"/>
        </w:rPr>
        <w:t>Steriliseringar i folkhemmet</w:t>
      </w:r>
      <w:r>
        <w:rPr>
          <w:rFonts w:ascii="Times New Roman" w:hAnsi="Times New Roman"/>
          <w:bCs/>
          <w:sz w:val="20"/>
          <w:szCs w:val="20"/>
        </w:rPr>
        <w:t>. Stockholm 1998;</w:t>
      </w:r>
      <w:r>
        <w:rPr>
          <w:rFonts w:ascii="Times New Roman" w:hAnsi="Times New Roman"/>
          <w:sz w:val="20"/>
          <w:szCs w:val="20"/>
        </w:rPr>
        <w:t xml:space="preserve"> Mattias Tydén, </w:t>
      </w:r>
      <w:r>
        <w:rPr>
          <w:rFonts w:ascii="Times New Roman" w:hAnsi="Times New Roman"/>
          <w:i/>
          <w:iCs/>
          <w:sz w:val="20"/>
          <w:szCs w:val="20"/>
        </w:rPr>
        <w:t xml:space="preserve">Från politik till praktik. De svenska steriliseringslagarna </w:t>
      </w:r>
      <w:proofErr w:type="gramStart"/>
      <w:r>
        <w:rPr>
          <w:rFonts w:ascii="Times New Roman" w:hAnsi="Times New Roman"/>
          <w:i/>
          <w:iCs/>
          <w:sz w:val="20"/>
          <w:szCs w:val="20"/>
        </w:rPr>
        <w:t>1935-1975</w:t>
      </w:r>
      <w:proofErr w:type="gramEnd"/>
      <w:r>
        <w:rPr>
          <w:rFonts w:ascii="Times New Roman" w:hAnsi="Times New Roman"/>
          <w:sz w:val="20"/>
          <w:szCs w:val="20"/>
        </w:rPr>
        <w:t>. Stockholm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512CB" w14:textId="77777777" w:rsidR="004850E7" w:rsidRDefault="004850E7">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F3EF44D" w14:textId="77777777" w:rsidR="004850E7" w:rsidRDefault="004850E7">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D5F1" w14:textId="77777777" w:rsidR="004850E7" w:rsidRDefault="004850E7">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D51B2">
      <w:rPr>
        <w:rStyle w:val="Sidnummer"/>
        <w:noProof/>
      </w:rPr>
      <w:t>1</w:t>
    </w:r>
    <w:r>
      <w:rPr>
        <w:rStyle w:val="Sidnummer"/>
      </w:rPr>
      <w:fldChar w:fldCharType="end"/>
    </w:r>
  </w:p>
  <w:p w14:paraId="538E66C6" w14:textId="77777777" w:rsidR="004850E7" w:rsidRDefault="004850E7">
    <w:pPr>
      <w:suppressAutoHyphens/>
      <w:spacing w:line="360" w:lineRule="atLeast"/>
      <w:ind w:right="360"/>
      <w:jc w:val="both"/>
    </w:pPr>
    <w:r>
      <w:rPr>
        <w:noProof/>
      </w:rPr>
      <w:pict w14:anchorId="343C3B30">
        <v:rect id="_x0000_s2049" style="position:absolute;left:0;text-align:left;margin-left:1in;margin-top:0;width:451.3pt;height:12pt;z-index:1;mso-position-horizontal-relative:page" o:allowincell="f" filled="f" stroked="f" strokeweight="0">
          <v:textbox inset="0,0,0,0">
            <w:txbxContent>
              <w:p w14:paraId="043DDBB3" w14:textId="77777777" w:rsidR="004850E7" w:rsidRDefault="004850E7">
                <w:pPr>
                  <w:tabs>
                    <w:tab w:val="center" w:pos="4513"/>
                    <w:tab w:val="right" w:pos="9026"/>
                  </w:tabs>
                  <w:rPr>
                    <w:rFonts w:ascii="Antique Olive" w:hAnsi="Antique Olive" w:cs="Antique Olive"/>
                    <w:spacing w:val="-3"/>
                    <w:lang w:val="en-US"/>
                  </w:rPr>
                </w:pPr>
                <w:r>
                  <w:tab/>
                </w:r>
              </w:p>
            </w:txbxContent>
          </v:textbox>
          <w10:wrap anchorx="page"/>
        </v:rect>
      </w:pict>
    </w:r>
  </w:p>
  <w:p w14:paraId="1909AD2C" w14:textId="77777777" w:rsidR="004850E7" w:rsidRDefault="004850E7">
    <w:pPr>
      <w:suppressAutoHyphens/>
      <w:spacing w:after="140" w:line="100" w:lineRule="exact"/>
      <w:jc w:val="both"/>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3E806AF"/>
    <w:multiLevelType w:val="hybridMultilevel"/>
    <w:tmpl w:val="D0D2A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82D51"/>
    <w:multiLevelType w:val="hybridMultilevel"/>
    <w:tmpl w:val="8868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45BCC"/>
    <w:multiLevelType w:val="hybridMultilevel"/>
    <w:tmpl w:val="D2048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01326"/>
    <w:multiLevelType w:val="hybridMultilevel"/>
    <w:tmpl w:val="6514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C6351"/>
    <w:multiLevelType w:val="hybridMultilevel"/>
    <w:tmpl w:val="2B18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oNotTrackMoves/>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50F"/>
    <w:rsid w:val="00166725"/>
    <w:rsid w:val="00264BB6"/>
    <w:rsid w:val="002D12CD"/>
    <w:rsid w:val="0040659E"/>
    <w:rsid w:val="00461043"/>
    <w:rsid w:val="004850E7"/>
    <w:rsid w:val="0055220E"/>
    <w:rsid w:val="006B64CF"/>
    <w:rsid w:val="009E7B48"/>
    <w:rsid w:val="00A93330"/>
    <w:rsid w:val="00B5550F"/>
    <w:rsid w:val="00B75164"/>
    <w:rsid w:val="00BD51B2"/>
    <w:rsid w:val="00C7018F"/>
    <w:rsid w:val="00DA3001"/>
    <w:rsid w:val="00E56E46"/>
    <w:rsid w:val="00E87D78"/>
    <w:rsid w:val="00F1019C"/>
    <w:rsid w:val="00FB25BA"/>
    <w:rsid w:val="00FB76F8"/>
    <w:rsid w:val="00FC6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B18C3F"/>
  <w15:chartTrackingRefBased/>
  <w15:docId w15:val="{3103E0C4-E563-434D-BD4F-8073DE09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Rubrik1">
    <w:name w:val="heading 1"/>
    <w:basedOn w:val="Normal"/>
    <w:next w:val="Normal"/>
    <w:qFormat/>
    <w:pPr>
      <w:keepNext/>
      <w:suppressAutoHyphens/>
      <w:spacing w:line="360" w:lineRule="auto"/>
      <w:jc w:val="both"/>
      <w:outlineLvl w:val="0"/>
    </w:pPr>
    <w:rPr>
      <w:rFonts w:ascii="Times New Roman" w:hAnsi="Times New Roman"/>
      <w:b/>
      <w:spacing w:val="-3"/>
      <w:sz w:val="32"/>
    </w:rPr>
  </w:style>
  <w:style w:type="paragraph" w:styleId="Rubrik2">
    <w:name w:val="heading 2"/>
    <w:basedOn w:val="Normal"/>
    <w:next w:val="Normal"/>
    <w:qFormat/>
    <w:pPr>
      <w:keepNext/>
      <w:suppressAutoHyphens/>
      <w:spacing w:line="360" w:lineRule="auto"/>
      <w:jc w:val="both"/>
      <w:outlineLvl w:val="1"/>
    </w:pPr>
    <w:rPr>
      <w:rFonts w:ascii="Times New Roman" w:hAnsi="Times New Roman"/>
      <w:b/>
      <w:spacing w:val="-3"/>
    </w:rPr>
  </w:style>
  <w:style w:type="paragraph" w:styleId="Rubrik6">
    <w:name w:val="heading 6"/>
    <w:basedOn w:val="Normal"/>
    <w:next w:val="Normal"/>
    <w:qFormat/>
    <w:pPr>
      <w:keepNext/>
      <w:widowControl/>
      <w:autoSpaceDE/>
      <w:autoSpaceDN/>
      <w:adjustRightInd/>
      <w:spacing w:line="360" w:lineRule="auto"/>
      <w:jc w:val="both"/>
      <w:outlineLvl w:val="5"/>
    </w:pPr>
    <w:rPr>
      <w:rFonts w:ascii="Times New Roman" w:hAnsi="Times New Roman"/>
      <w:b/>
      <w:sz w:val="32"/>
      <w:szCs w:val="2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teckensnittfrstycke">
    <w:name w:val="Standardteckensnitt för stycke"/>
  </w:style>
  <w:style w:type="paragraph" w:styleId="Slutnotstext">
    <w:name w:val="endnote text"/>
    <w:basedOn w:val="Normal"/>
    <w:semiHidden/>
    <w:rPr>
      <w:rFonts w:cs="Times New Roman"/>
    </w:rPr>
  </w:style>
  <w:style w:type="character" w:styleId="Slutnotsreferens">
    <w:name w:val="endnote reference"/>
    <w:semiHidden/>
    <w:rPr>
      <w:vertAlign w:val="superscript"/>
    </w:rPr>
  </w:style>
  <w:style w:type="paragraph" w:styleId="Fotnotstext">
    <w:name w:val="footnote text"/>
    <w:aliases w:val="Fotnotstext Char Char Char,Fotnotstext Char Char,Fotnotstext Char Char Char Char Char Char,Fotnotstext Char Char Char Char Char"/>
    <w:basedOn w:val="Normal"/>
    <w:semiHidden/>
    <w:rPr>
      <w:rFonts w:cs="Times New Roman"/>
    </w:rPr>
  </w:style>
  <w:style w:type="character" w:styleId="Fotnotsreferens">
    <w:name w:val="footnote reference"/>
    <w:aliases w:val="Bildtext"/>
    <w:semiHidden/>
    <w:rPr>
      <w:vertAlign w:val="superscript"/>
    </w:rPr>
  </w:style>
  <w:style w:type="paragraph" w:customStyle="1" w:styleId="innehll1">
    <w:name w:val="innehåll 1"/>
    <w:basedOn w:val="Normal"/>
    <w:pPr>
      <w:tabs>
        <w:tab w:val="right" w:leader="dot" w:pos="9360"/>
      </w:tabs>
      <w:suppressAutoHyphens/>
      <w:spacing w:before="480" w:line="240" w:lineRule="atLeast"/>
      <w:ind w:left="720" w:right="720" w:hanging="720"/>
    </w:pPr>
    <w:rPr>
      <w:lang w:val="en-US"/>
    </w:rPr>
  </w:style>
  <w:style w:type="paragraph" w:customStyle="1" w:styleId="innehll2">
    <w:name w:val="innehåll 2"/>
    <w:basedOn w:val="Normal"/>
    <w:pPr>
      <w:tabs>
        <w:tab w:val="right" w:leader="dot" w:pos="9360"/>
      </w:tabs>
      <w:suppressAutoHyphens/>
      <w:spacing w:line="240" w:lineRule="atLeast"/>
      <w:ind w:left="720" w:right="720"/>
    </w:pPr>
    <w:rPr>
      <w:lang w:val="en-US"/>
    </w:rPr>
  </w:style>
  <w:style w:type="paragraph" w:customStyle="1" w:styleId="innehll3">
    <w:name w:val="innehåll 3"/>
    <w:basedOn w:val="Normal"/>
    <w:pPr>
      <w:tabs>
        <w:tab w:val="right" w:leader="dot" w:pos="9360"/>
      </w:tabs>
      <w:suppressAutoHyphens/>
      <w:spacing w:line="240" w:lineRule="atLeast"/>
      <w:ind w:left="720" w:right="720"/>
    </w:pPr>
    <w:rPr>
      <w:lang w:val="en-US"/>
    </w:rPr>
  </w:style>
  <w:style w:type="paragraph" w:customStyle="1" w:styleId="innehll4">
    <w:name w:val="innehåll 4"/>
    <w:basedOn w:val="Normal"/>
    <w:pPr>
      <w:tabs>
        <w:tab w:val="right" w:leader="dot" w:pos="9360"/>
      </w:tabs>
      <w:suppressAutoHyphens/>
      <w:spacing w:line="240" w:lineRule="atLeast"/>
      <w:ind w:left="720" w:right="720"/>
    </w:pPr>
    <w:rPr>
      <w:lang w:val="en-US"/>
    </w:rPr>
  </w:style>
  <w:style w:type="paragraph" w:customStyle="1" w:styleId="innehll5">
    <w:name w:val="innehåll 5"/>
    <w:basedOn w:val="Normal"/>
    <w:pPr>
      <w:tabs>
        <w:tab w:val="right" w:leader="dot" w:pos="9360"/>
      </w:tabs>
      <w:suppressAutoHyphens/>
      <w:spacing w:line="240" w:lineRule="atLeast"/>
      <w:ind w:left="720" w:right="720"/>
    </w:pPr>
    <w:rPr>
      <w:lang w:val="en-US"/>
    </w:rPr>
  </w:style>
  <w:style w:type="paragraph" w:customStyle="1" w:styleId="innehll6">
    <w:name w:val="innehåll 6"/>
    <w:basedOn w:val="Normal"/>
    <w:pPr>
      <w:tabs>
        <w:tab w:val="right" w:pos="9360"/>
      </w:tabs>
      <w:suppressAutoHyphens/>
      <w:spacing w:line="240" w:lineRule="atLeast"/>
      <w:ind w:left="720" w:hanging="720"/>
    </w:pPr>
    <w:rPr>
      <w:lang w:val="en-US"/>
    </w:rPr>
  </w:style>
  <w:style w:type="paragraph" w:customStyle="1" w:styleId="innehll7">
    <w:name w:val="innehåll 7"/>
    <w:basedOn w:val="Normal"/>
    <w:pPr>
      <w:suppressAutoHyphens/>
      <w:spacing w:line="240" w:lineRule="atLeast"/>
      <w:ind w:left="720" w:hanging="720"/>
    </w:pPr>
    <w:rPr>
      <w:lang w:val="en-US"/>
    </w:rPr>
  </w:style>
  <w:style w:type="paragraph" w:customStyle="1" w:styleId="innehll8">
    <w:name w:val="innehåll 8"/>
    <w:basedOn w:val="Normal"/>
    <w:pPr>
      <w:tabs>
        <w:tab w:val="right" w:pos="9360"/>
      </w:tabs>
      <w:suppressAutoHyphens/>
      <w:spacing w:line="240" w:lineRule="atLeast"/>
      <w:ind w:left="720" w:hanging="720"/>
    </w:pPr>
    <w:rPr>
      <w:lang w:val="en-US"/>
    </w:rPr>
  </w:style>
  <w:style w:type="paragraph" w:customStyle="1" w:styleId="innehll9">
    <w:name w:val="innehåll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semiHidden/>
    <w:pPr>
      <w:tabs>
        <w:tab w:val="right" w:leader="dot" w:pos="9360"/>
      </w:tabs>
      <w:suppressAutoHyphens/>
      <w:spacing w:line="240" w:lineRule="atLeast"/>
      <w:ind w:left="720" w:hanging="720"/>
    </w:pPr>
    <w:rPr>
      <w:lang w:val="en-US"/>
    </w:rPr>
  </w:style>
  <w:style w:type="paragraph" w:styleId="Index2">
    <w:name w:val="index 2"/>
    <w:basedOn w:val="Normal"/>
    <w:next w:val="Normal"/>
    <w:semiHidden/>
    <w:pPr>
      <w:tabs>
        <w:tab w:val="right" w:leader="dot" w:pos="9360"/>
      </w:tabs>
      <w:suppressAutoHyphens/>
      <w:spacing w:line="240" w:lineRule="atLeast"/>
      <w:ind w:left="720"/>
    </w:pPr>
    <w:rPr>
      <w:lang w:val="en-US"/>
    </w:rPr>
  </w:style>
  <w:style w:type="paragraph" w:customStyle="1" w:styleId="citatfrteckning">
    <w:name w:val="citatförteckning"/>
    <w:basedOn w:val="Normal"/>
    <w:pPr>
      <w:tabs>
        <w:tab w:val="right" w:pos="9360"/>
      </w:tabs>
      <w:suppressAutoHyphens/>
      <w:spacing w:line="240" w:lineRule="atLeast"/>
    </w:pPr>
    <w:rPr>
      <w:lang w:val="en-US"/>
    </w:rPr>
  </w:style>
  <w:style w:type="paragraph" w:customStyle="1" w:styleId="beskrivning">
    <w:name w:val="beskrivning"/>
    <w:basedOn w:val="Normal"/>
    <w:rPr>
      <w:rFonts w:cs="Times New Roman"/>
    </w:rPr>
  </w:style>
  <w:style w:type="character" w:customStyle="1" w:styleId="EquationCaption">
    <w:name w:val="_Equation Caption"/>
  </w:style>
  <w:style w:type="paragraph" w:styleId="Sidhuvud">
    <w:name w:val="header"/>
    <w:basedOn w:val="Normal"/>
    <w:semiHidden/>
    <w:unhideWhenUsed/>
    <w:pPr>
      <w:tabs>
        <w:tab w:val="center" w:pos="4680"/>
        <w:tab w:val="right" w:pos="9360"/>
      </w:tabs>
    </w:pPr>
  </w:style>
  <w:style w:type="character" w:customStyle="1" w:styleId="SidhuvudChar">
    <w:name w:val="Sidhuvud Char"/>
    <w:semiHidden/>
    <w:rPr>
      <w:rFonts w:ascii="Courier" w:hAnsi="Courier" w:cs="Courier"/>
      <w:sz w:val="24"/>
      <w:szCs w:val="24"/>
      <w:lang w:val="sv-SE" w:eastAsia="sv-SE"/>
    </w:rPr>
  </w:style>
  <w:style w:type="paragraph" w:styleId="Sidfot">
    <w:name w:val="footer"/>
    <w:basedOn w:val="Normal"/>
    <w:semiHidden/>
    <w:unhideWhenUsed/>
    <w:pPr>
      <w:tabs>
        <w:tab w:val="center" w:pos="4680"/>
        <w:tab w:val="right" w:pos="9360"/>
      </w:tabs>
    </w:pPr>
  </w:style>
  <w:style w:type="character" w:customStyle="1" w:styleId="SidfotChar">
    <w:name w:val="Sidfot Char"/>
    <w:semiHidden/>
    <w:rPr>
      <w:rFonts w:ascii="Courier" w:hAnsi="Courier" w:cs="Courier"/>
      <w:sz w:val="24"/>
      <w:szCs w:val="24"/>
      <w:lang w:val="sv-SE" w:eastAsia="sv-SE"/>
    </w:rPr>
  </w:style>
  <w:style w:type="paragraph" w:styleId="Brdtext">
    <w:name w:val="Body Text"/>
    <w:basedOn w:val="Normal"/>
    <w:semiHidden/>
    <w:pPr>
      <w:suppressAutoHyphens/>
      <w:spacing w:line="360" w:lineRule="auto"/>
      <w:jc w:val="both"/>
    </w:pPr>
    <w:rPr>
      <w:rFonts w:ascii="Times New Roman" w:hAnsi="Times New Roman"/>
      <w:b/>
      <w:bCs/>
      <w:i/>
      <w:iCs/>
      <w:spacing w:val="-3"/>
    </w:rPr>
  </w:style>
  <w:style w:type="character" w:styleId="Sidnummer">
    <w:name w:val="page number"/>
    <w:basedOn w:val="Standardstycketeckensnitt"/>
    <w:semiHidden/>
  </w:style>
  <w:style w:type="paragraph" w:styleId="Brdtext2">
    <w:name w:val="Body Text 2"/>
    <w:basedOn w:val="Normal"/>
    <w:semiHidden/>
    <w:pPr>
      <w:tabs>
        <w:tab w:val="left" w:pos="-720"/>
      </w:tabs>
      <w:suppressAutoHyphens/>
      <w:spacing w:line="36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8327</Words>
  <Characters>44134</Characters>
  <Application>Microsoft Office Word</Application>
  <DocSecurity>0</DocSecurity>
  <Lines>367</Lines>
  <Paragraphs>104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Utlåtande om artikeln "Kriget är slut</vt:lpstr>
      <vt:lpstr>Utlåtande om artikeln "Kriget är slut</vt:lpstr>
      <vt:lpstr>Utlåtande om artikeln "Kriget är slut</vt:lpstr>
    </vt:vector>
  </TitlesOfParts>
  <Company>Örebro universitet</Company>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Utlåtande om artikeln "Kriget är slut</dc:title>
  <dc:subject/>
  <dc:creator>Björn Horgby</dc:creator>
  <cp:keywords/>
  <cp:lastModifiedBy>Björn Horgby</cp:lastModifiedBy>
  <cp:revision>2</cp:revision>
  <dcterms:created xsi:type="dcterms:W3CDTF">2020-01-13T11:18:00Z</dcterms:created>
  <dcterms:modified xsi:type="dcterms:W3CDTF">2020-01-13T11:18:00Z</dcterms:modified>
</cp:coreProperties>
</file>