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3B5D" w14:textId="7C8C7542" w:rsidR="00000000" w:rsidRDefault="005D5B57">
      <w:pPr>
        <w:suppressAutoHyphens/>
        <w:spacing w:line="360" w:lineRule="auto"/>
        <w:jc w:val="both"/>
        <w:rPr>
          <w:rFonts w:ascii="Times New Roman" w:hAnsi="Times New Roman"/>
          <w:bCs/>
          <w:spacing w:val="-3"/>
        </w:rPr>
      </w:pPr>
      <w:r>
        <w:rPr>
          <w:rFonts w:ascii="Times New Roman" w:hAnsi="Times New Roman"/>
          <w:bCs/>
          <w:spacing w:val="-3"/>
        </w:rPr>
        <w:t>Ej publicerad</w:t>
      </w:r>
      <w:bookmarkStart w:id="0" w:name="_GoBack"/>
      <w:bookmarkEnd w:id="0"/>
    </w:p>
    <w:p w14:paraId="795350BF" w14:textId="77777777" w:rsidR="00000000" w:rsidRDefault="00BC3002">
      <w:pPr>
        <w:suppressAutoHyphens/>
        <w:spacing w:line="360" w:lineRule="auto"/>
        <w:jc w:val="both"/>
        <w:rPr>
          <w:rFonts w:ascii="Times New Roman" w:hAnsi="Times New Roman"/>
          <w:bCs/>
          <w:spacing w:val="-3"/>
        </w:rPr>
      </w:pPr>
    </w:p>
    <w:p w14:paraId="0C4DBA3B" w14:textId="77777777" w:rsidR="00000000" w:rsidRDefault="00BC3002">
      <w:pPr>
        <w:suppressAutoHyphens/>
        <w:spacing w:line="360" w:lineRule="auto"/>
        <w:jc w:val="both"/>
        <w:rPr>
          <w:rFonts w:ascii="Times New Roman" w:hAnsi="Times New Roman"/>
          <w:b/>
          <w:bCs/>
          <w:spacing w:val="-3"/>
          <w:sz w:val="36"/>
          <w:szCs w:val="36"/>
        </w:rPr>
      </w:pPr>
      <w:r>
        <w:rPr>
          <w:rFonts w:ascii="Times New Roman" w:hAnsi="Times New Roman"/>
          <w:b/>
          <w:bCs/>
          <w:spacing w:val="-3"/>
          <w:sz w:val="36"/>
          <w:szCs w:val="36"/>
        </w:rPr>
        <w:t>Arbetarkulturen och massmarknaden</w:t>
      </w:r>
    </w:p>
    <w:p w14:paraId="1CEE333E" w14:textId="77777777" w:rsidR="00000000" w:rsidRDefault="00BC3002">
      <w:pPr>
        <w:widowControl/>
        <w:suppressAutoHyphens/>
        <w:spacing w:line="360" w:lineRule="auto"/>
        <w:jc w:val="both"/>
        <w:rPr>
          <w:rFonts w:ascii="Times New Roman" w:hAnsi="Times New Roman"/>
          <w:bCs/>
          <w:spacing w:val="-3"/>
        </w:rPr>
      </w:pPr>
      <w:r>
        <w:rPr>
          <w:rFonts w:ascii="Times New Roman" w:hAnsi="Times New Roman"/>
          <w:bCs/>
          <w:spacing w:val="-3"/>
        </w:rPr>
        <w:t>De moraliska panikreaktionerna, över hur den kommersiella massmarknadens kulturella uttryck har ”invaderat” arbetarkulturen, har ända sedan slutet av 1800-talet avlöst varandra.</w:t>
      </w:r>
      <w:r>
        <w:rPr>
          <w:rStyle w:val="Fotnotsreferens"/>
          <w:rFonts w:ascii="Times New Roman" w:hAnsi="Times New Roman"/>
          <w:bCs/>
          <w:spacing w:val="-3"/>
        </w:rPr>
        <w:footnoteReference w:id="1"/>
      </w:r>
      <w:r>
        <w:rPr>
          <w:rFonts w:ascii="Times New Roman" w:hAnsi="Times New Roman"/>
          <w:bCs/>
          <w:spacing w:val="-3"/>
        </w:rPr>
        <w:t xml:space="preserve"> Den ”fina” borgerl</w:t>
      </w:r>
      <w:r>
        <w:rPr>
          <w:rFonts w:ascii="Times New Roman" w:hAnsi="Times New Roman"/>
          <w:bCs/>
          <w:spacing w:val="-3"/>
        </w:rPr>
        <w:t>iga kulturen har med moraliska argument återkommande reagerat mot ”invasionen”. Även arbetarrörelsen har på motsvarande sätt bekämpat ”invasionen”.</w:t>
      </w:r>
      <w:r>
        <w:rPr>
          <w:rStyle w:val="Fotnotsreferens"/>
          <w:rFonts w:ascii="Times New Roman" w:hAnsi="Times New Roman"/>
          <w:bCs/>
          <w:spacing w:val="-3"/>
        </w:rPr>
        <w:footnoteReference w:id="2"/>
      </w:r>
      <w:r>
        <w:rPr>
          <w:rFonts w:ascii="Times New Roman" w:hAnsi="Times New Roman"/>
          <w:bCs/>
          <w:spacing w:val="-3"/>
        </w:rPr>
        <w:t xml:space="preserve"> Trots dessa olika försök till kulturell påverkan, och trots att flera studier har visat att arbetarkulturen</w:t>
      </w:r>
      <w:r>
        <w:rPr>
          <w:rFonts w:ascii="Times New Roman" w:hAnsi="Times New Roman"/>
          <w:bCs/>
          <w:spacing w:val="-3"/>
        </w:rPr>
        <w:t xml:space="preserve"> på många sätt varit både traditionalistisk och förändringsobenägen,</w:t>
      </w:r>
      <w:r>
        <w:rPr>
          <w:rStyle w:val="Fotnotsreferens"/>
          <w:rFonts w:ascii="Times New Roman" w:hAnsi="Times New Roman"/>
          <w:bCs/>
          <w:spacing w:val="-3"/>
        </w:rPr>
        <w:footnoteReference w:id="3"/>
      </w:r>
      <w:r>
        <w:rPr>
          <w:rFonts w:ascii="Times New Roman" w:hAnsi="Times New Roman"/>
          <w:bCs/>
          <w:spacing w:val="-3"/>
        </w:rPr>
        <w:t xml:space="preserve"> har arbetarkulturen välvilligt och återkommande tagit emot den kommersiella massmarknadens kulturella uttryck. Samtidigt har den vänt sig emot den borgerliga kulturens hegemoniska ansprå</w:t>
      </w:r>
      <w:r>
        <w:rPr>
          <w:rFonts w:ascii="Times New Roman" w:hAnsi="Times New Roman"/>
          <w:bCs/>
          <w:spacing w:val="-3"/>
        </w:rPr>
        <w:t xml:space="preserve">k. </w:t>
      </w:r>
    </w:p>
    <w:p w14:paraId="793081C6" w14:textId="77777777" w:rsidR="00000000" w:rsidRDefault="00BC3002">
      <w:pPr>
        <w:widowControl/>
        <w:suppressAutoHyphens/>
        <w:spacing w:line="360" w:lineRule="auto"/>
        <w:jc w:val="both"/>
        <w:rPr>
          <w:rFonts w:ascii="Times New Roman" w:hAnsi="Times New Roman"/>
          <w:bCs/>
          <w:spacing w:val="-3"/>
        </w:rPr>
      </w:pPr>
      <w:r>
        <w:rPr>
          <w:rFonts w:ascii="Times New Roman" w:hAnsi="Times New Roman"/>
          <w:bCs/>
          <w:spacing w:val="-3"/>
        </w:rPr>
        <w:t xml:space="preserve">   I den här artikeln ska jag undersöka hur den kulturella ”invasionen” gått till och diskutera varför arbetarklassen så gärna konsumerat massmarknadens kulturella uttryck. Undersökningen består av tre delar. I den första delen tar jag upp moralisk </w:t>
      </w:r>
      <w:proofErr w:type="spellStart"/>
      <w:r>
        <w:rPr>
          <w:rFonts w:ascii="Times New Roman" w:hAnsi="Times New Roman"/>
          <w:bCs/>
          <w:spacing w:val="-3"/>
        </w:rPr>
        <w:t>pan</w:t>
      </w:r>
      <w:r>
        <w:rPr>
          <w:rFonts w:ascii="Times New Roman" w:hAnsi="Times New Roman"/>
          <w:bCs/>
          <w:spacing w:val="-3"/>
        </w:rPr>
        <w:t>iker</w:t>
      </w:r>
      <w:proofErr w:type="spellEnd"/>
      <w:r>
        <w:rPr>
          <w:rFonts w:ascii="Times New Roman" w:hAnsi="Times New Roman"/>
          <w:bCs/>
          <w:spacing w:val="-3"/>
        </w:rPr>
        <w:t xml:space="preserve"> och andra liknande reaktioner; i den andra arbetarbefolkningens konsumtionen av kommersiella uttryck; och i den tredje diskuterar jag varför detta har varit möjligt. De båda två första delarna kompletterar varandra som sätt att befästa hur arbetarbefo</w:t>
      </w:r>
      <w:r>
        <w:rPr>
          <w:rFonts w:ascii="Times New Roman" w:hAnsi="Times New Roman"/>
          <w:bCs/>
          <w:spacing w:val="-3"/>
        </w:rPr>
        <w:t>lkningens kulturkonsumtion såg ut och fungerar därför utifrån sina båda utgångspunkter som underlag för slutsatserna i den tredje delen.</w:t>
      </w:r>
    </w:p>
    <w:p w14:paraId="54EF883B"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bCs/>
          <w:spacing w:val="-3"/>
        </w:rPr>
        <w:t xml:space="preserve">   </w:t>
      </w:r>
      <w:r>
        <w:rPr>
          <w:rFonts w:ascii="Times New Roman" w:hAnsi="Times New Roman"/>
          <w:spacing w:val="-3"/>
        </w:rPr>
        <w:t>Arbetarstaden Norrköping utgör studiens empiriska fokus. Som källmaterial använder jag främst arbetarminnesberättels</w:t>
      </w:r>
      <w:r>
        <w:rPr>
          <w:rFonts w:ascii="Times New Roman" w:hAnsi="Times New Roman"/>
          <w:spacing w:val="-3"/>
        </w:rPr>
        <w:t>er, för att visa vilka arenor som den kommersiella massmarknaden kunde använda och hur marknaden konkret påverkade arbetarkulturen. Källmaterialet rör i viss utsträckning tiden före första världskriget, framför allt mellankrigstiden och till mindre del äve</w:t>
      </w:r>
      <w:r>
        <w:rPr>
          <w:rFonts w:ascii="Times New Roman" w:hAnsi="Times New Roman"/>
          <w:spacing w:val="-3"/>
        </w:rPr>
        <w:t>n den tidiga efterkrigstiden. De arbetare som intervjuades i slutet av 1980-talet var ofta födda under 1900-talets första decennier. Därför täcker materialet inte 1960- och 1970-talens ungdomskulturer.</w:t>
      </w:r>
      <w:r>
        <w:rPr>
          <w:rStyle w:val="Fotnotsreferens"/>
          <w:rFonts w:ascii="Times New Roman" w:hAnsi="Times New Roman"/>
          <w:spacing w:val="-3"/>
        </w:rPr>
        <w:footnoteReference w:id="4"/>
      </w:r>
      <w:r>
        <w:rPr>
          <w:rFonts w:ascii="Times New Roman" w:hAnsi="Times New Roman"/>
          <w:spacing w:val="-3"/>
        </w:rPr>
        <w:t xml:space="preserve"> Dessa kan jag indirekt komma åt med hjälp av studier </w:t>
      </w:r>
      <w:r>
        <w:rPr>
          <w:rFonts w:ascii="Times New Roman" w:hAnsi="Times New Roman"/>
          <w:spacing w:val="-3"/>
        </w:rPr>
        <w:t xml:space="preserve">av moralisk </w:t>
      </w:r>
      <w:proofErr w:type="spellStart"/>
      <w:r>
        <w:rPr>
          <w:rFonts w:ascii="Times New Roman" w:hAnsi="Times New Roman"/>
          <w:spacing w:val="-3"/>
        </w:rPr>
        <w:t>paniker</w:t>
      </w:r>
      <w:proofErr w:type="spellEnd"/>
      <w:r>
        <w:rPr>
          <w:rFonts w:ascii="Times New Roman" w:hAnsi="Times New Roman"/>
          <w:spacing w:val="-3"/>
        </w:rPr>
        <w:t xml:space="preserve"> och andra motsvarande reaktioner.</w:t>
      </w:r>
    </w:p>
    <w:p w14:paraId="044A30A7" w14:textId="77777777" w:rsidR="00000000" w:rsidRDefault="00BC3002">
      <w:pPr>
        <w:widowControl/>
        <w:suppressAutoHyphens/>
        <w:spacing w:line="360" w:lineRule="auto"/>
        <w:jc w:val="both"/>
        <w:rPr>
          <w:rFonts w:ascii="Times New Roman" w:hAnsi="Times New Roman"/>
          <w:bCs/>
          <w:spacing w:val="-3"/>
        </w:rPr>
      </w:pPr>
      <w:r>
        <w:rPr>
          <w:rFonts w:ascii="Times New Roman" w:hAnsi="Times New Roman"/>
          <w:spacing w:val="-3"/>
        </w:rPr>
        <w:lastRenderedPageBreak/>
        <w:t xml:space="preserve">   Undersökningen rör 1900-talets sju första decennier. Av denna anledning berör jag inte 1980-talets </w:t>
      </w:r>
      <w:r>
        <w:rPr>
          <w:rFonts w:ascii="Times New Roman" w:hAnsi="Times New Roman"/>
          <w:bCs/>
          <w:spacing w:val="-3"/>
        </w:rPr>
        <w:t>videovåldsdebatt, panikreaktionerna mot ”omoralisk” hårdrock eller senare debatter om allehanda TV-s</w:t>
      </w:r>
      <w:r>
        <w:rPr>
          <w:rFonts w:ascii="Times New Roman" w:hAnsi="Times New Roman"/>
          <w:bCs/>
          <w:spacing w:val="-3"/>
        </w:rPr>
        <w:t xml:space="preserve">åpor och </w:t>
      </w:r>
      <w:proofErr w:type="spellStart"/>
      <w:r>
        <w:rPr>
          <w:rFonts w:ascii="Times New Roman" w:hAnsi="Times New Roman"/>
          <w:bCs/>
          <w:spacing w:val="-3"/>
        </w:rPr>
        <w:t>reality</w:t>
      </w:r>
      <w:proofErr w:type="spellEnd"/>
      <w:r>
        <w:rPr>
          <w:rFonts w:ascii="Times New Roman" w:hAnsi="Times New Roman"/>
          <w:bCs/>
          <w:spacing w:val="-3"/>
        </w:rPr>
        <w:t>-serier.</w:t>
      </w:r>
      <w:r>
        <w:rPr>
          <w:rStyle w:val="Fotnotsreferens"/>
          <w:rFonts w:ascii="Times New Roman" w:hAnsi="Times New Roman"/>
          <w:bCs/>
          <w:spacing w:val="-3"/>
        </w:rPr>
        <w:footnoteReference w:id="5"/>
      </w:r>
      <w:r>
        <w:rPr>
          <w:rFonts w:ascii="Times New Roman" w:hAnsi="Times New Roman"/>
          <w:bCs/>
          <w:spacing w:val="-3"/>
        </w:rPr>
        <w:t xml:space="preserve"> En sådan undersökning hade kunnat visa att ”invasionen” fortsatte under 1900-talets tre sista decennier, men för att kunna belägga detta på ett tillfredsställande sätt hade jag även behövt ett arbetarminnesmaterial som rör samma p</w:t>
      </w:r>
      <w:r>
        <w:rPr>
          <w:rFonts w:ascii="Times New Roman" w:hAnsi="Times New Roman"/>
          <w:bCs/>
          <w:spacing w:val="-3"/>
        </w:rPr>
        <w:t>eriod.</w:t>
      </w:r>
    </w:p>
    <w:p w14:paraId="2D393BC1" w14:textId="77777777" w:rsidR="00000000" w:rsidRDefault="00BC3002">
      <w:pPr>
        <w:widowControl/>
        <w:suppressAutoHyphens/>
        <w:spacing w:line="360" w:lineRule="auto"/>
        <w:jc w:val="both"/>
        <w:rPr>
          <w:rFonts w:ascii="Times New Roman" w:hAnsi="Times New Roman"/>
          <w:bCs/>
          <w:spacing w:val="-3"/>
        </w:rPr>
      </w:pPr>
      <w:r>
        <w:rPr>
          <w:rFonts w:ascii="Times New Roman" w:hAnsi="Times New Roman"/>
          <w:bCs/>
          <w:spacing w:val="-3"/>
        </w:rPr>
        <w:t xml:space="preserve">   Det kan också tilläggas att undersökningen rör arbetarkulturen och arbetarklassens kulturkonsumtion. Konsumtionen av den kommersiella massmarknadens nöjen var emellertid inte så socialt avgränsad, utan rörde större folkliga grupper.</w:t>
      </w:r>
      <w:r>
        <w:rPr>
          <w:rStyle w:val="Fotnotsreferens"/>
          <w:rFonts w:ascii="Times New Roman" w:hAnsi="Times New Roman"/>
          <w:bCs/>
          <w:spacing w:val="-3"/>
        </w:rPr>
        <w:footnoteReference w:id="6"/>
      </w:r>
      <w:r>
        <w:rPr>
          <w:rFonts w:ascii="Times New Roman" w:hAnsi="Times New Roman"/>
          <w:bCs/>
          <w:spacing w:val="-3"/>
        </w:rPr>
        <w:t xml:space="preserve"> Särskilt de </w:t>
      </w:r>
      <w:r>
        <w:rPr>
          <w:rFonts w:ascii="Times New Roman" w:hAnsi="Times New Roman"/>
          <w:bCs/>
          <w:spacing w:val="-3"/>
        </w:rPr>
        <w:t>borgerliga reaktionerna riktade sig också mot denna typ av kulturkonsumtion i allmänhet och inte enbart mot arbetarklassens konsumtion.</w:t>
      </w:r>
    </w:p>
    <w:p w14:paraId="07B620BA" w14:textId="77777777" w:rsidR="00000000" w:rsidRDefault="00BC3002">
      <w:pPr>
        <w:widowControl/>
        <w:suppressAutoHyphens/>
        <w:spacing w:line="360" w:lineRule="auto"/>
        <w:jc w:val="both"/>
        <w:rPr>
          <w:rFonts w:ascii="Times New Roman" w:hAnsi="Times New Roman"/>
          <w:bCs/>
          <w:spacing w:val="-3"/>
        </w:rPr>
      </w:pPr>
    </w:p>
    <w:p w14:paraId="7112293A" w14:textId="77777777" w:rsidR="00000000" w:rsidRDefault="00BC3002">
      <w:pPr>
        <w:widowControl/>
        <w:suppressAutoHyphens/>
        <w:spacing w:line="360" w:lineRule="auto"/>
        <w:jc w:val="both"/>
        <w:rPr>
          <w:rFonts w:ascii="Times New Roman" w:hAnsi="Times New Roman"/>
          <w:b/>
          <w:bCs/>
          <w:spacing w:val="-3"/>
          <w:sz w:val="32"/>
          <w:szCs w:val="32"/>
        </w:rPr>
      </w:pPr>
      <w:r>
        <w:rPr>
          <w:rFonts w:ascii="Times New Roman" w:hAnsi="Times New Roman"/>
          <w:b/>
          <w:bCs/>
          <w:spacing w:val="-3"/>
          <w:sz w:val="32"/>
          <w:szCs w:val="32"/>
        </w:rPr>
        <w:t>Förändrade konsumtionsmöjligheter</w:t>
      </w:r>
    </w:p>
    <w:p w14:paraId="60C495F9"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szCs w:val="32"/>
        </w:rPr>
        <w:t>Arbetarklassens förutsättningar för att konsumera nöjen förändrades under 1900-talets</w:t>
      </w:r>
      <w:r>
        <w:rPr>
          <w:rFonts w:ascii="Times New Roman" w:hAnsi="Times New Roman"/>
          <w:spacing w:val="-3"/>
          <w:szCs w:val="32"/>
        </w:rPr>
        <w:t xml:space="preserve"> sju första decennier. Därför behandlar jag först översiktligt de föränderliga konsumtionsmöjligheterna. Nöjeskonsumtionen reglerades av </w:t>
      </w:r>
      <w:r>
        <w:rPr>
          <w:rFonts w:ascii="Times New Roman" w:hAnsi="Times New Roman"/>
          <w:spacing w:val="-3"/>
        </w:rPr>
        <w:t>fritidens längd, av ansvaret för familjen, av de ekonomiska möjligheterna att kunna ägna fritiden åt nöjeskonsumtion sa</w:t>
      </w:r>
      <w:r>
        <w:rPr>
          <w:rFonts w:ascii="Times New Roman" w:hAnsi="Times New Roman"/>
          <w:spacing w:val="-3"/>
        </w:rPr>
        <w:t>mt av samhällets kontroll av nöjesutbudet.</w:t>
      </w:r>
      <w:r>
        <w:rPr>
          <w:rStyle w:val="Fotnotsreferens"/>
          <w:rFonts w:ascii="Times New Roman" w:hAnsi="Times New Roman"/>
          <w:spacing w:val="-3"/>
        </w:rPr>
        <w:footnoteReference w:id="7"/>
      </w:r>
    </w:p>
    <w:p w14:paraId="70BA4DB1"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Fritiden var liten före 48-timmarsveckans införande år 1919. Nästa stora förändring av arbetstiden inträffade under den tidiga efterkrigstiden, då antalet semesterveckor steg till fem och veckoarbetstiden sjön</w:t>
      </w:r>
      <w:r>
        <w:rPr>
          <w:rFonts w:ascii="Times New Roman" w:hAnsi="Times New Roman"/>
          <w:spacing w:val="-3"/>
        </w:rPr>
        <w:t>k till 40 timmar.</w:t>
      </w:r>
      <w:r>
        <w:rPr>
          <w:rStyle w:val="Fotnotsreferens"/>
          <w:rFonts w:ascii="Times New Roman" w:hAnsi="Times New Roman"/>
          <w:spacing w:val="-3"/>
        </w:rPr>
        <w:footnoteReference w:id="8"/>
      </w:r>
      <w:r>
        <w:rPr>
          <w:rFonts w:ascii="Times New Roman" w:hAnsi="Times New Roman"/>
          <w:spacing w:val="-3"/>
        </w:rPr>
        <w:t xml:space="preserve"> Med 48-timmarsveckans införande fick de som arbetade på den öppna arbetsmarknaden inom industri och service – framför allt unga ogifta kvinnor och män i allmänhet – betydligt mer fritid än tidigare. De kvinnor som arbetade utanför den öp</w:t>
      </w:r>
      <w:r>
        <w:rPr>
          <w:rFonts w:ascii="Times New Roman" w:hAnsi="Times New Roman"/>
          <w:spacing w:val="-3"/>
        </w:rPr>
        <w:t>pna arbetsmarknaden och som tog det största ansvaret för familjen, påverkades dock endast indirekt av arbetstidsförkortningen.</w:t>
      </w:r>
    </w:p>
    <w:p w14:paraId="36437025"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Under den tidiga industrialiseringen skedde den manliga nöjeskonsumtionen i städerna i stor utsträckning inom ramen för en kro</w:t>
      </w:r>
      <w:r>
        <w:rPr>
          <w:rFonts w:ascii="Times New Roman" w:hAnsi="Times New Roman"/>
          <w:spacing w:val="-3"/>
        </w:rPr>
        <w:t>gkultur, där alkoholkonsumtionen stod i centrum. Krogarna och alkoholförsäljningen reglerades allt hårdare under den senare delen av 1800-talet och i början av 1900-talet. Därför sjönk alkoholkonsumtionen. Som en följd av kontrollen trängdes den manliga kr</w:t>
      </w:r>
      <w:r>
        <w:rPr>
          <w:rFonts w:ascii="Times New Roman" w:hAnsi="Times New Roman"/>
          <w:spacing w:val="-3"/>
        </w:rPr>
        <w:t>ogkulturen tillbaka.</w:t>
      </w:r>
      <w:r>
        <w:rPr>
          <w:rStyle w:val="Fotnotsreferens"/>
          <w:rFonts w:ascii="Times New Roman" w:hAnsi="Times New Roman"/>
          <w:spacing w:val="-3"/>
        </w:rPr>
        <w:footnoteReference w:id="9"/>
      </w:r>
      <w:r>
        <w:rPr>
          <w:rFonts w:ascii="Times New Roman" w:hAnsi="Times New Roman"/>
          <w:spacing w:val="-3"/>
        </w:rPr>
        <w:t xml:space="preserve"> Samtidigt fick krogumgänget konkurrens av de växande folkrörelsernas alternativ till tidens kommersiella nöjesutbud. Under mellankrigstiden och åren efter andra världskriget var den offentliga regleringen av nöjesutbudet ganska omfatt</w:t>
      </w:r>
      <w:r>
        <w:rPr>
          <w:rFonts w:ascii="Times New Roman" w:hAnsi="Times New Roman"/>
          <w:spacing w:val="-3"/>
        </w:rPr>
        <w:t>ande och rörde framför allt alkoholförsäljningens förutsättningar. Folkrörelsernas betydelse var samtidigt som allra störst. Från och med det sena 1950-talet fick både föreningslivet och det kommersiella nöjesutbudet dock skarp konkurrens av det nya TV-med</w:t>
      </w:r>
      <w:r>
        <w:rPr>
          <w:rFonts w:ascii="Times New Roman" w:hAnsi="Times New Roman"/>
          <w:spacing w:val="-3"/>
        </w:rPr>
        <w:t>iet.</w:t>
      </w:r>
      <w:r>
        <w:rPr>
          <w:rStyle w:val="Fotnotsreferens"/>
          <w:rFonts w:ascii="Times New Roman" w:hAnsi="Times New Roman"/>
          <w:spacing w:val="-3"/>
        </w:rPr>
        <w:footnoteReference w:id="10"/>
      </w:r>
    </w:p>
    <w:p w14:paraId="54320432"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De ekonomiska förutsättningarna satte gränser för nöjeskonsumtionen.  Dessa hade samband med vilken </w:t>
      </w:r>
      <w:proofErr w:type="spellStart"/>
      <w:r>
        <w:rPr>
          <w:rFonts w:ascii="Times New Roman" w:hAnsi="Times New Roman"/>
          <w:spacing w:val="-3"/>
        </w:rPr>
        <w:t>livsfas</w:t>
      </w:r>
      <w:proofErr w:type="spellEnd"/>
      <w:r>
        <w:rPr>
          <w:rFonts w:ascii="Times New Roman" w:hAnsi="Times New Roman"/>
          <w:spacing w:val="-3"/>
        </w:rPr>
        <w:t xml:space="preserve"> man befann sig i. Ungdomar som tjänade egna pengar och inte behövde betala allt eller en stor del av lönen till sina föräldrar, hade förmodl</w:t>
      </w:r>
      <w:r>
        <w:rPr>
          <w:rFonts w:ascii="Times New Roman" w:hAnsi="Times New Roman"/>
          <w:spacing w:val="-3"/>
        </w:rPr>
        <w:t>igen det största konsumtionsutrymmet.</w:t>
      </w:r>
      <w:r>
        <w:rPr>
          <w:rFonts w:ascii="Times New Roman" w:hAnsi="Times New Roman"/>
          <w:spacing w:val="-3"/>
          <w:sz w:val="28"/>
        </w:rPr>
        <w:t xml:space="preserve"> </w:t>
      </w:r>
      <w:r>
        <w:rPr>
          <w:rFonts w:ascii="Times New Roman" w:hAnsi="Times New Roman"/>
          <w:spacing w:val="-3"/>
        </w:rPr>
        <w:t>Efter familjebildningen var konsumtionsutrymmet litet tills barnen blev så stora att de kunde bidra till familjens försörjning.</w:t>
      </w:r>
      <w:r>
        <w:rPr>
          <w:rStyle w:val="Fotnotsreferens"/>
          <w:rFonts w:ascii="Times New Roman" w:hAnsi="Times New Roman"/>
          <w:spacing w:val="-3"/>
        </w:rPr>
        <w:footnoteReference w:id="11"/>
      </w:r>
      <w:r>
        <w:rPr>
          <w:rFonts w:ascii="Times New Roman" w:hAnsi="Times New Roman"/>
          <w:spacing w:val="-3"/>
        </w:rPr>
        <w:t xml:space="preserve"> De ekonomiska tillgångarna var liksom familjeansvaret genusordnat. Unga, ogifta kvinnor a</w:t>
      </w:r>
      <w:r>
        <w:rPr>
          <w:rFonts w:ascii="Times New Roman" w:hAnsi="Times New Roman"/>
          <w:spacing w:val="-3"/>
        </w:rPr>
        <w:t>rbetade i allmänhet på den öppna arbetsmarknaden, men hade lägre löner än männen, samtidigt som de tog betydligt större familjeansvar än de unga männen. Enligt de genusnormer som präglade den första hälften av 1900-talet skulle mannen vara familjeförsörjar</w:t>
      </w:r>
      <w:r>
        <w:rPr>
          <w:rFonts w:ascii="Times New Roman" w:hAnsi="Times New Roman"/>
          <w:spacing w:val="-3"/>
        </w:rPr>
        <w:t xml:space="preserve">e, medan kvinnan ansvarade för familjens omsorg. I arbetarklassen såg praktiken ofta lite annorlunda ut, eftersom många kvinnor vid sidan av hemarbetet också arbetade hel- eller deltid utanför hemmet. Under den tidiga efterkrigstiden förändrades </w:t>
      </w:r>
      <w:proofErr w:type="spellStart"/>
      <w:r>
        <w:rPr>
          <w:rFonts w:ascii="Times New Roman" w:hAnsi="Times New Roman"/>
          <w:spacing w:val="-3"/>
        </w:rPr>
        <w:t>enförsörja</w:t>
      </w:r>
      <w:r>
        <w:rPr>
          <w:rFonts w:ascii="Times New Roman" w:hAnsi="Times New Roman"/>
          <w:spacing w:val="-3"/>
        </w:rPr>
        <w:t>rnormen</w:t>
      </w:r>
      <w:proofErr w:type="spellEnd"/>
      <w:r>
        <w:rPr>
          <w:rFonts w:ascii="Times New Roman" w:hAnsi="Times New Roman"/>
          <w:spacing w:val="-3"/>
        </w:rPr>
        <w:t xml:space="preserve"> till en tvåförsörjarnorm, när andelen gifta kvinnor på den öppna arbetsmarknaden ökade. </w:t>
      </w:r>
    </w:p>
    <w:p w14:paraId="1DD7DA51"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Familjeansvaret och de ekonomiska förutsättningarna medförde att ungdomar – som ännu inte hunnit bilda familj – stod för en relativt stor del av nöjeskonsum</w:t>
      </w:r>
      <w:r>
        <w:rPr>
          <w:rFonts w:ascii="Times New Roman" w:hAnsi="Times New Roman"/>
          <w:spacing w:val="-3"/>
        </w:rPr>
        <w:t>tionen och att kvinnorna konsumerade mindre nöjesaktiviteter än vad männen gjorde. Enligt det tillgängliga minnesmaterialet uppfattade sig många informanter ändå inte ha särskilt mycket pengar att röra sig med. Därför behövde de hushålla med resurserna. Un</w:t>
      </w:r>
      <w:r>
        <w:rPr>
          <w:rFonts w:ascii="Times New Roman" w:hAnsi="Times New Roman"/>
          <w:spacing w:val="-3"/>
        </w:rPr>
        <w:t>der 1960- och 1970-talet växte dock resurserna betydligt. Samtidigt började skillnaderna mellan könen utjämnas.</w:t>
      </w:r>
      <w:r>
        <w:rPr>
          <w:rStyle w:val="Fotnotsreferens"/>
          <w:rFonts w:ascii="Times New Roman" w:hAnsi="Times New Roman"/>
          <w:spacing w:val="-3"/>
        </w:rPr>
        <w:footnoteReference w:id="12"/>
      </w:r>
      <w:r>
        <w:rPr>
          <w:rFonts w:ascii="Times New Roman" w:hAnsi="Times New Roman"/>
          <w:spacing w:val="-3"/>
        </w:rPr>
        <w:t xml:space="preserve"> Arbetarklassens levnadsstandard var låg före och under första världskriget. Under 1920-talet steg den något. Den höga arbetslösheten, som drabb</w:t>
      </w:r>
      <w:r>
        <w:rPr>
          <w:rFonts w:ascii="Times New Roman" w:hAnsi="Times New Roman"/>
          <w:spacing w:val="-3"/>
        </w:rPr>
        <w:t>ade ungdomar särskilt hårt, påverkade de ekonomiska förutsättningarna. Arbetslösheten steg ytterligare under 1930-talets depression – trots att Sverige drabbades förhållandevis lindrigt. I slutet av 1930-talet började ekonomin återhämta sig. Andra världskr</w:t>
      </w:r>
      <w:r>
        <w:rPr>
          <w:rFonts w:ascii="Times New Roman" w:hAnsi="Times New Roman"/>
          <w:spacing w:val="-3"/>
        </w:rPr>
        <w:t>iget ledde till att unga män kallades in till långa beredskapstjänstgöringar. I stället ökade andelen kvinnor tillfälligt på den öppna arbetsmarknaden. Ransoneringar och matbrist medförde att levnadsstandarden var relativt låg ända fram till det sena 1940-</w:t>
      </w:r>
      <w:r>
        <w:rPr>
          <w:rFonts w:ascii="Times New Roman" w:hAnsi="Times New Roman"/>
          <w:spacing w:val="-3"/>
        </w:rPr>
        <w:t xml:space="preserve">talet, då tillväxten och levnadsstandarden började stiga snabbt.  Under 1960-talet var konsumtionsmöjligheterna betydligt större än tidigare. Tidens välfärdsmarkörer var </w:t>
      </w:r>
      <w:proofErr w:type="spellStart"/>
      <w:r>
        <w:rPr>
          <w:rFonts w:ascii="Times New Roman" w:hAnsi="Times New Roman"/>
          <w:spacing w:val="-3"/>
        </w:rPr>
        <w:t>TVn</w:t>
      </w:r>
      <w:proofErr w:type="spellEnd"/>
      <w:r>
        <w:rPr>
          <w:rFonts w:ascii="Times New Roman" w:hAnsi="Times New Roman"/>
          <w:spacing w:val="-3"/>
        </w:rPr>
        <w:t>, semesterresan och den egna bilen. Detta fick bland annat följder för tidens ungdo</w:t>
      </w:r>
      <w:r>
        <w:rPr>
          <w:rFonts w:ascii="Times New Roman" w:hAnsi="Times New Roman"/>
          <w:spacing w:val="-3"/>
        </w:rPr>
        <w:t>mskulturer. Levnadsstandarden fortsatte att stiga under 1970-talet, men ökningstakten var betydligt lägre än under det föregående decenniet – särskilt under den andra hälften av årtiondet.</w:t>
      </w:r>
      <w:r>
        <w:rPr>
          <w:rStyle w:val="Fotnotsreferens"/>
          <w:rFonts w:ascii="Times New Roman" w:hAnsi="Times New Roman"/>
          <w:spacing w:val="-3"/>
        </w:rPr>
        <w:footnoteReference w:id="13"/>
      </w:r>
    </w:p>
    <w:p w14:paraId="7CDF1B55" w14:textId="77777777" w:rsidR="00000000" w:rsidRDefault="00BC3002">
      <w:pPr>
        <w:widowControl/>
        <w:suppressAutoHyphens/>
        <w:spacing w:line="360" w:lineRule="auto"/>
        <w:jc w:val="both"/>
        <w:rPr>
          <w:rFonts w:ascii="Times New Roman" w:hAnsi="Times New Roman"/>
          <w:bCs/>
          <w:spacing w:val="-3"/>
        </w:rPr>
      </w:pPr>
    </w:p>
    <w:p w14:paraId="162877C7" w14:textId="77777777" w:rsidR="00000000" w:rsidRDefault="00BC3002">
      <w:pPr>
        <w:pStyle w:val="Rubrik3"/>
        <w:widowControl/>
      </w:pPr>
      <w:r>
        <w:t xml:space="preserve">Moraliska </w:t>
      </w:r>
      <w:proofErr w:type="spellStart"/>
      <w:r>
        <w:t>paniker</w:t>
      </w:r>
      <w:proofErr w:type="spellEnd"/>
      <w:r>
        <w:t xml:space="preserve"> och andra liknande reaktioner </w:t>
      </w:r>
    </w:p>
    <w:p w14:paraId="2987D65A"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bCs/>
          <w:spacing w:val="-3"/>
        </w:rPr>
        <w:t xml:space="preserve">Borgerlighetens </w:t>
      </w:r>
      <w:r>
        <w:rPr>
          <w:rFonts w:ascii="Times New Roman" w:hAnsi="Times New Roman"/>
          <w:bCs/>
          <w:spacing w:val="-3"/>
        </w:rPr>
        <w:t>och arbetarrörelsens panikreaktioner mot den kommersiella massmarknadens kulturella uttryck ger indirekta belägg för marknadens ”invasion” och arbetarbefolkningens kulturkonsumtion, genom att reaktionerna berör synen på konsumtionen i stället för den själv</w:t>
      </w:r>
      <w:r>
        <w:rPr>
          <w:rFonts w:ascii="Times New Roman" w:hAnsi="Times New Roman"/>
          <w:bCs/>
          <w:spacing w:val="-3"/>
        </w:rPr>
        <w:t xml:space="preserve">upplevda konsumtionen. För borgerligheten var arbetarklassens konsumtion av massmarknadens kulturella uttryck ”dålig smak”. Som </w:t>
      </w:r>
      <w:r>
        <w:rPr>
          <w:rFonts w:ascii="Times New Roman" w:hAnsi="Times New Roman"/>
          <w:bCs/>
        </w:rPr>
        <w:t>etnologen Orvar Löfgren formulerar det uttrycktes klassmotsättningar bland annat som en kamp mellan</w:t>
      </w:r>
      <w:r>
        <w:rPr>
          <w:bCs/>
        </w:rPr>
        <w:t xml:space="preserve"> </w:t>
      </w:r>
      <w:r>
        <w:rPr>
          <w:rFonts w:ascii="Times New Roman" w:hAnsi="Times New Roman"/>
          <w:bCs/>
        </w:rPr>
        <w:t>”</w:t>
      </w:r>
      <w:r>
        <w:rPr>
          <w:rFonts w:ascii="Times New Roman" w:hAnsi="Times New Roman"/>
          <w:spacing w:val="-3"/>
        </w:rPr>
        <w:t>god stil” å den ena sidan o</w:t>
      </w:r>
      <w:r>
        <w:rPr>
          <w:rFonts w:ascii="Times New Roman" w:hAnsi="Times New Roman"/>
          <w:spacing w:val="-3"/>
        </w:rPr>
        <w:t>ch ”vulgaritet” och ”dålig smak” å den andra sidan.</w:t>
      </w:r>
      <w:r>
        <w:rPr>
          <w:rStyle w:val="Fotnotsreferens"/>
          <w:rFonts w:ascii="Times New Roman" w:hAnsi="Times New Roman"/>
          <w:spacing w:val="-3"/>
        </w:rPr>
        <w:footnoteReference w:id="14"/>
      </w:r>
      <w:r>
        <w:rPr>
          <w:rFonts w:ascii="Times New Roman" w:hAnsi="Times New Roman"/>
          <w:spacing w:val="-3"/>
        </w:rPr>
        <w:t xml:space="preserve"> Kulturkampen medförde dessutom att arbetarkulturen sökte avgränsa sig mot borgerlighetens strävan efter kulturell hegemoni.</w:t>
      </w:r>
      <w:r>
        <w:rPr>
          <w:rStyle w:val="Fotnotsreferens"/>
          <w:rFonts w:ascii="Times New Roman" w:hAnsi="Times New Roman"/>
          <w:spacing w:val="-3"/>
        </w:rPr>
        <w:footnoteReference w:id="15"/>
      </w:r>
      <w:r>
        <w:rPr>
          <w:rFonts w:ascii="Times New Roman" w:hAnsi="Times New Roman"/>
          <w:spacing w:val="-3"/>
        </w:rPr>
        <w:t xml:space="preserve"> Samtidigt upprördes borgerligheten, på grund av hegemonianspråken,</w:t>
      </w:r>
      <w:r>
        <w:rPr>
          <w:rStyle w:val="Fotnotsreferens"/>
          <w:rFonts w:ascii="Times New Roman" w:hAnsi="Times New Roman"/>
          <w:spacing w:val="-3"/>
        </w:rPr>
        <w:footnoteReference w:id="16"/>
      </w:r>
      <w:r>
        <w:rPr>
          <w:rFonts w:ascii="Times New Roman" w:hAnsi="Times New Roman"/>
          <w:spacing w:val="-3"/>
        </w:rPr>
        <w:t xml:space="preserve"> av </w:t>
      </w:r>
      <w:r>
        <w:rPr>
          <w:rFonts w:ascii="Times New Roman" w:hAnsi="Times New Roman"/>
          <w:bCs/>
          <w:spacing w:val="-3"/>
        </w:rPr>
        <w:t>hur, va</w:t>
      </w:r>
      <w:r>
        <w:rPr>
          <w:rFonts w:ascii="Times New Roman" w:hAnsi="Times New Roman"/>
          <w:bCs/>
          <w:spacing w:val="-3"/>
        </w:rPr>
        <w:t>d den uppfattar som försvarslösa arbetare och andra folkliga grupper, i sin nöjeskonsumtion blev offer för den kommersiella kulturen. Denna upprördhet skapade i sin tur moraliska panikreaktioner.</w:t>
      </w:r>
      <w:r>
        <w:rPr>
          <w:rFonts w:ascii="Times New Roman" w:hAnsi="Times New Roman"/>
          <w:spacing w:val="-3"/>
        </w:rPr>
        <w:t xml:space="preserve"> </w:t>
      </w:r>
    </w:p>
    <w:p w14:paraId="5B36F1FE" w14:textId="77777777" w:rsidR="00000000" w:rsidRDefault="00BC3002">
      <w:pPr>
        <w:widowControl/>
        <w:suppressAutoHyphens/>
        <w:spacing w:line="360" w:lineRule="auto"/>
        <w:jc w:val="both"/>
        <w:rPr>
          <w:rFonts w:ascii="Times New Roman" w:hAnsi="Times New Roman"/>
          <w:bCs/>
          <w:spacing w:val="-3"/>
        </w:rPr>
      </w:pPr>
      <w:r>
        <w:rPr>
          <w:rFonts w:ascii="Times New Roman" w:hAnsi="Times New Roman"/>
          <w:spacing w:val="-3"/>
        </w:rPr>
        <w:t xml:space="preserve">   </w:t>
      </w:r>
      <w:r>
        <w:rPr>
          <w:rFonts w:ascii="Times New Roman" w:hAnsi="Times New Roman"/>
          <w:bCs/>
          <w:spacing w:val="-3"/>
        </w:rPr>
        <w:t>Historiskt går det att finna exempel på sådan moralisk u</w:t>
      </w:r>
      <w:r>
        <w:rPr>
          <w:rFonts w:ascii="Times New Roman" w:hAnsi="Times New Roman"/>
          <w:bCs/>
          <w:spacing w:val="-3"/>
        </w:rPr>
        <w:t>pprördhet ända sedan det sena 1800-talet. Man reagerade mot vad som uppfattas som moraliskt tvivelaktigt och vulgärt, ytligt, fördummande, förråande, sentimentalt och känslostyrt raffel. Nedsättande begrepp som smutslitteratur, kiosklitteratur, hötorgskons</w:t>
      </w:r>
      <w:r>
        <w:rPr>
          <w:rFonts w:ascii="Times New Roman" w:hAnsi="Times New Roman"/>
          <w:bCs/>
          <w:spacing w:val="-3"/>
        </w:rPr>
        <w:t>t, pilsnerfilm, dansbaneelände och videovåld har använts i avgränsningarna mot massmarknadens nöjesutbud. Kulturella argusögon har granskat nöjen som vänt sig till en folklig publik, som skillingtryck och annan lättsmält litteratur, bio och TV-underhållnin</w:t>
      </w:r>
      <w:r>
        <w:rPr>
          <w:rFonts w:ascii="Times New Roman" w:hAnsi="Times New Roman"/>
          <w:bCs/>
          <w:spacing w:val="-3"/>
        </w:rPr>
        <w:t>g, dans, cirkus, revyer, krog- och kaféunderhållning och kommersialiserade idrottstävlingar.</w:t>
      </w:r>
      <w:r>
        <w:rPr>
          <w:rStyle w:val="Fotnotsreferens"/>
          <w:rFonts w:ascii="Times New Roman" w:hAnsi="Times New Roman"/>
          <w:bCs/>
          <w:spacing w:val="-3"/>
        </w:rPr>
        <w:footnoteReference w:id="17"/>
      </w:r>
      <w:r>
        <w:rPr>
          <w:rFonts w:ascii="Times New Roman" w:hAnsi="Times New Roman"/>
          <w:bCs/>
          <w:spacing w:val="-3"/>
        </w:rPr>
        <w:t xml:space="preserve"> </w:t>
      </w:r>
    </w:p>
    <w:p w14:paraId="65EE790F"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w:t>
      </w:r>
      <w:r>
        <w:rPr>
          <w:rFonts w:ascii="Times New Roman" w:hAnsi="Times New Roman"/>
          <w:spacing w:val="-3"/>
          <w:szCs w:val="32"/>
        </w:rPr>
        <w:t xml:space="preserve">Massmarknadens nöjesutbud såldes på många arenor. En sådan arena var försäljningen av massmarknadslitteratur. </w:t>
      </w:r>
      <w:r>
        <w:rPr>
          <w:rFonts w:ascii="Times New Roman" w:hAnsi="Times New Roman"/>
          <w:spacing w:val="-3"/>
        </w:rPr>
        <w:t>Under det sena 1800-talet var det vanligt att re</w:t>
      </w:r>
      <w:r>
        <w:rPr>
          <w:rFonts w:ascii="Times New Roman" w:hAnsi="Times New Roman"/>
          <w:spacing w:val="-3"/>
        </w:rPr>
        <w:t>sande försäljare sålde kolportageromaner och skillingtryck. Och produktionen och försäljningen av massmarknadslitteratur fortsatte under 1900-talet. Läkarromaner och andra romantiska kärleksromaner såldes tillsammans med indianböcker, deckare och annan spä</w:t>
      </w:r>
      <w:r>
        <w:rPr>
          <w:rFonts w:ascii="Times New Roman" w:hAnsi="Times New Roman"/>
          <w:spacing w:val="-3"/>
        </w:rPr>
        <w:t>nningslektyr i stora mängder. Denna litteratur skulle först kallas ”smutslitteratur” och senare kiosklitteratur, eftersom den tillhandahölls av kiosker.</w:t>
      </w:r>
      <w:r>
        <w:rPr>
          <w:rStyle w:val="Fotnotsreferens"/>
          <w:rFonts w:ascii="Times New Roman" w:hAnsi="Times New Roman"/>
          <w:spacing w:val="-3"/>
        </w:rPr>
        <w:footnoteReference w:id="18"/>
      </w:r>
      <w:r>
        <w:rPr>
          <w:rFonts w:ascii="Times New Roman" w:hAnsi="Times New Roman"/>
          <w:spacing w:val="-3"/>
        </w:rPr>
        <w:t xml:space="preserve"> Till ”smutslitteraturen” hörde </w:t>
      </w:r>
      <w:r>
        <w:rPr>
          <w:rFonts w:ascii="Times New Roman" w:hAnsi="Times New Roman"/>
          <w:snapToGrid/>
          <w:spacing w:val="-3"/>
        </w:rPr>
        <w:t>deckarserien om ”Nick Carter”, som ”vällde in” över Sveriges gränser st</w:t>
      </w:r>
      <w:r>
        <w:rPr>
          <w:rFonts w:ascii="Times New Roman" w:hAnsi="Times New Roman"/>
          <w:snapToGrid/>
          <w:spacing w:val="-3"/>
        </w:rPr>
        <w:t>rax efter sekelskiftet. Det var första gången som amerikansk massmarknadslitteratur fick större spridning i landet. Deckarna var lätta att få tag i. De såldes av tobakshandlare och utkom ofta med ett häfte i veckan. Argumentet om att publiken förfördes til</w:t>
      </w:r>
      <w:r>
        <w:rPr>
          <w:rFonts w:ascii="Times New Roman" w:hAnsi="Times New Roman"/>
          <w:snapToGrid/>
          <w:spacing w:val="-3"/>
        </w:rPr>
        <w:t xml:space="preserve">l att bli kriminell återkom i debatten om Nick Carter. Enligt litteraturvetaren Ulf </w:t>
      </w:r>
      <w:proofErr w:type="spellStart"/>
      <w:r>
        <w:rPr>
          <w:rFonts w:ascii="Times New Roman" w:hAnsi="Times New Roman"/>
          <w:snapToGrid/>
          <w:spacing w:val="-3"/>
        </w:rPr>
        <w:t>Boethius</w:t>
      </w:r>
      <w:proofErr w:type="spellEnd"/>
      <w:r>
        <w:rPr>
          <w:rFonts w:ascii="Times New Roman" w:hAnsi="Times New Roman"/>
          <w:snapToGrid/>
          <w:spacing w:val="-3"/>
        </w:rPr>
        <w:t xml:space="preserve"> ansågs massmarknadslitteraturen dessutom vara moraliskt fördärvlig, eftersom den uppfattades som sexuellt upphetsande. ”</w:t>
      </w:r>
      <w:r>
        <w:rPr>
          <w:rFonts w:ascii="Times New Roman" w:hAnsi="Times New Roman"/>
          <w:i/>
          <w:iCs/>
          <w:snapToGrid/>
          <w:spacing w:val="-3"/>
        </w:rPr>
        <w:t>Den vädjar till känslan och de primitiva dr</w:t>
      </w:r>
      <w:r>
        <w:rPr>
          <w:rFonts w:ascii="Times New Roman" w:hAnsi="Times New Roman"/>
          <w:i/>
          <w:iCs/>
          <w:snapToGrid/>
          <w:spacing w:val="-3"/>
        </w:rPr>
        <w:t>ifterna och ställs i skarp motsats till den intellektuella, behärskade och distanserade finkulturen.</w:t>
      </w:r>
      <w:r>
        <w:rPr>
          <w:rFonts w:ascii="Times New Roman" w:hAnsi="Times New Roman"/>
          <w:snapToGrid/>
          <w:spacing w:val="-3"/>
        </w:rPr>
        <w:t>”</w:t>
      </w:r>
      <w:r>
        <w:rPr>
          <w:rStyle w:val="Fotnotsreferens"/>
          <w:rFonts w:ascii="Times New Roman" w:hAnsi="Times New Roman"/>
          <w:snapToGrid/>
          <w:spacing w:val="-3"/>
        </w:rPr>
        <w:footnoteReference w:id="19"/>
      </w:r>
      <w:r>
        <w:rPr>
          <w:rFonts w:ascii="Times New Roman" w:hAnsi="Times New Roman"/>
          <w:snapToGrid/>
          <w:spacing w:val="-3"/>
        </w:rPr>
        <w:t xml:space="preserve"> Hänsyftningen till kriminalitet var inte så konstig, eftersom det bara några år tidigare förekommit en moralisk panikreaktion riktad mot ”de förvildade b</w:t>
      </w:r>
      <w:r>
        <w:rPr>
          <w:rFonts w:ascii="Times New Roman" w:hAnsi="Times New Roman"/>
          <w:snapToGrid/>
          <w:spacing w:val="-3"/>
        </w:rPr>
        <w:t>arnen” eller ”ligapojkarna”, som bland annat ledde till att staten vid sekelskiftet 1900 utredde ungdomsbrottsligheten.</w:t>
      </w:r>
      <w:r>
        <w:rPr>
          <w:rStyle w:val="Fotnotsreferens"/>
          <w:rFonts w:ascii="Times New Roman" w:hAnsi="Times New Roman"/>
          <w:snapToGrid/>
          <w:spacing w:val="-3"/>
        </w:rPr>
        <w:footnoteReference w:id="20"/>
      </w:r>
      <w:r>
        <w:rPr>
          <w:rFonts w:ascii="Times New Roman" w:hAnsi="Times New Roman"/>
          <w:snapToGrid/>
          <w:spacing w:val="-3"/>
        </w:rPr>
        <w:t xml:space="preserve"> </w:t>
      </w:r>
    </w:p>
    <w:p w14:paraId="08A721D9"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napToGrid/>
          <w:spacing w:val="-3"/>
        </w:rPr>
        <w:t xml:space="preserve">   Kampen mot den ”dåliga” massmarknadslitteraturen fortsatte under hela undersökningsperioden. Bland annat </w:t>
      </w:r>
      <w:proofErr w:type="gramStart"/>
      <w:r>
        <w:rPr>
          <w:rFonts w:ascii="Times New Roman" w:hAnsi="Times New Roman"/>
          <w:snapToGrid/>
          <w:spacing w:val="-3"/>
        </w:rPr>
        <w:t>användes  begrepp</w:t>
      </w:r>
      <w:proofErr w:type="gramEnd"/>
      <w:r>
        <w:rPr>
          <w:rFonts w:ascii="Times New Roman" w:hAnsi="Times New Roman"/>
          <w:snapToGrid/>
          <w:spacing w:val="-3"/>
        </w:rPr>
        <w:t xml:space="preserve"> som ”kio</w:t>
      </w:r>
      <w:r>
        <w:rPr>
          <w:rFonts w:ascii="Times New Roman" w:hAnsi="Times New Roman"/>
          <w:snapToGrid/>
          <w:spacing w:val="-3"/>
        </w:rPr>
        <w:t>sklitteratur” för att avgränsa denna litteratur från den ”fina” litteraturen.</w:t>
      </w:r>
      <w:r>
        <w:rPr>
          <w:rStyle w:val="Fotnotsreferens"/>
          <w:rFonts w:ascii="Times New Roman" w:hAnsi="Times New Roman"/>
          <w:snapToGrid/>
          <w:spacing w:val="-3"/>
        </w:rPr>
        <w:footnoteReference w:id="21"/>
      </w:r>
      <w:r>
        <w:rPr>
          <w:rFonts w:ascii="Times New Roman" w:hAnsi="Times New Roman"/>
          <w:snapToGrid/>
          <w:spacing w:val="-3"/>
        </w:rPr>
        <w:t xml:space="preserve"> </w:t>
      </w:r>
    </w:p>
    <w:p w14:paraId="0ECA3CCE"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Spelfilmen var en annan måltavla. Kritiken av spelfilmen för sensationsmakeri och för att den förförde sin publik – inte minst de värnlösa kvinnorna – är så gott som lika ga</w:t>
      </w:r>
      <w:r>
        <w:rPr>
          <w:rFonts w:ascii="Times New Roman" w:hAnsi="Times New Roman"/>
          <w:spacing w:val="-3"/>
        </w:rPr>
        <w:t>mmal som filmens existens. Medan pojkarna drogs ned i kriminalitet, drabbades kvinnorna av filmens sexuella lockelser.</w:t>
      </w:r>
      <w:r>
        <w:rPr>
          <w:rStyle w:val="Fotnotsreferens"/>
          <w:rFonts w:ascii="Times New Roman" w:hAnsi="Times New Roman"/>
          <w:spacing w:val="-3"/>
        </w:rPr>
        <w:footnoteReference w:id="22"/>
      </w:r>
      <w:r>
        <w:rPr>
          <w:rFonts w:ascii="Times New Roman" w:hAnsi="Times New Roman"/>
          <w:spacing w:val="-3"/>
        </w:rPr>
        <w:t xml:space="preserve"> År 1919 varnade till exempel flera riksdagsledamöter för den sensationshungriga filmens konsekvenser:</w:t>
      </w:r>
    </w:p>
    <w:p w14:paraId="7F8B5C6F"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w:t>
      </w:r>
      <w:r>
        <w:rPr>
          <w:rFonts w:ascii="Times New Roman" w:hAnsi="Times New Roman"/>
          <w:i/>
          <w:iCs/>
          <w:spacing w:val="-3"/>
        </w:rPr>
        <w:t xml:space="preserve">Få biograferna fortsätta vilt </w:t>
      </w:r>
      <w:r>
        <w:rPr>
          <w:rFonts w:ascii="Times New Roman" w:hAnsi="Times New Roman"/>
          <w:i/>
          <w:iCs/>
          <w:spacing w:val="-3"/>
        </w:rPr>
        <w:t>sina uppjagande och onaturliga sensationsdramer utan att den ansvarsmedvetna delen av samhället har tillfälle att på något sätt gripa in, får den enskilda vinsthungern här ensam göra sig bred, så är den dagen ej avlägsen, då våra folkuppfostrare förlorat g</w:t>
      </w:r>
      <w:r>
        <w:rPr>
          <w:rFonts w:ascii="Times New Roman" w:hAnsi="Times New Roman"/>
          <w:i/>
          <w:iCs/>
          <w:spacing w:val="-3"/>
        </w:rPr>
        <w:t xml:space="preserve">reppet om vår ungdom och vi stå lika maktlösa inför ett oerhört starkt biografkapital som vi länge </w:t>
      </w:r>
      <w:proofErr w:type="spellStart"/>
      <w:r>
        <w:rPr>
          <w:rFonts w:ascii="Times New Roman" w:hAnsi="Times New Roman"/>
          <w:i/>
          <w:iCs/>
          <w:spacing w:val="-3"/>
        </w:rPr>
        <w:t>stodo</w:t>
      </w:r>
      <w:proofErr w:type="spellEnd"/>
      <w:r>
        <w:rPr>
          <w:rFonts w:ascii="Times New Roman" w:hAnsi="Times New Roman"/>
          <w:i/>
          <w:iCs/>
          <w:spacing w:val="-3"/>
        </w:rPr>
        <w:t xml:space="preserve"> inför rusdryckskapitalet.”</w:t>
      </w:r>
      <w:r>
        <w:rPr>
          <w:rStyle w:val="Fotnotsreferens"/>
          <w:rFonts w:ascii="Times New Roman" w:hAnsi="Times New Roman"/>
          <w:spacing w:val="-3"/>
        </w:rPr>
        <w:footnoteReference w:id="23"/>
      </w:r>
    </w:p>
    <w:p w14:paraId="206617F8"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Chefen för fångvårdsstyrelsen Hardy Göransson tillhörde dem som på 1930-talet menade att nöjesindustrin ledde till ökad </w:t>
      </w:r>
      <w:r>
        <w:rPr>
          <w:rFonts w:ascii="Times New Roman" w:hAnsi="Times New Roman"/>
          <w:spacing w:val="-3"/>
        </w:rPr>
        <w:t>ungdomsbrottslighet. De moraliska panikreaktionerna medförde bland annat att riksdagen tillsatte en statlig utredning Ungdomsvårdskommittén. Men, när den väl kom med sina betänkanden efter andra världskriget drog ledamöterna helt andra slutsatser än 1930-t</w:t>
      </w:r>
      <w:r>
        <w:rPr>
          <w:rFonts w:ascii="Times New Roman" w:hAnsi="Times New Roman"/>
          <w:spacing w:val="-3"/>
        </w:rPr>
        <w:t>alets borgerliga debattörer.</w:t>
      </w:r>
      <w:r>
        <w:rPr>
          <w:rStyle w:val="Fotnotsreferens"/>
          <w:rFonts w:ascii="Times New Roman" w:hAnsi="Times New Roman"/>
          <w:spacing w:val="-3"/>
        </w:rPr>
        <w:footnoteReference w:id="24"/>
      </w:r>
      <w:r>
        <w:rPr>
          <w:rFonts w:ascii="Times New Roman" w:hAnsi="Times New Roman"/>
          <w:spacing w:val="-3"/>
        </w:rPr>
        <w:t xml:space="preserve"> </w:t>
      </w:r>
    </w:p>
    <w:p w14:paraId="07B25280" w14:textId="77777777" w:rsidR="00000000" w:rsidRDefault="00BC3002">
      <w:pPr>
        <w:spacing w:line="360" w:lineRule="auto"/>
        <w:jc w:val="both"/>
        <w:rPr>
          <w:rFonts w:ascii="Times New Roman" w:hAnsi="Times New Roman"/>
          <w:spacing w:val="-3"/>
        </w:rPr>
      </w:pPr>
      <w:r>
        <w:rPr>
          <w:rFonts w:ascii="Times New Roman" w:hAnsi="Times New Roman"/>
          <w:spacing w:val="-3"/>
        </w:rPr>
        <w:t xml:space="preserve">   Massmarknadskulturen hade i stor utsträckning en amerikansk touch, men det fanns även möjligheter att reagera mot det inhemska nöjesutbudet. Under 1930- och 1940-talen producerades en mängd svenska ”pilsner”-filmer. Det va</w:t>
      </w:r>
      <w:r>
        <w:rPr>
          <w:rFonts w:ascii="Times New Roman" w:hAnsi="Times New Roman"/>
          <w:spacing w:val="-3"/>
        </w:rPr>
        <w:t xml:space="preserve">r komiska folklustspel, som hade sina rötter i den folkliga revy- och folklustspelstraditionen. Gideon Wahlbergs lustspel </w:t>
      </w:r>
      <w:r>
        <w:rPr>
          <w:rFonts w:ascii="Times New Roman" w:hAnsi="Times New Roman"/>
          <w:i/>
          <w:iCs/>
          <w:spacing w:val="-3"/>
        </w:rPr>
        <w:t>Söderkåkar</w:t>
      </w:r>
      <w:r>
        <w:rPr>
          <w:rFonts w:ascii="Times New Roman" w:hAnsi="Times New Roman"/>
          <w:spacing w:val="-3"/>
        </w:rPr>
        <w:t xml:space="preserve"> blev 1932 film och har kallats den första pilsnerfilmen. Den film som väckte mest debatt var emellertid </w:t>
      </w:r>
      <w:r>
        <w:rPr>
          <w:rFonts w:ascii="Times New Roman" w:hAnsi="Times New Roman"/>
          <w:i/>
          <w:iCs/>
          <w:spacing w:val="-3"/>
        </w:rPr>
        <w:t>Pensionat Paradiset</w:t>
      </w:r>
      <w:r>
        <w:rPr>
          <w:rFonts w:ascii="Times New Roman" w:hAnsi="Times New Roman"/>
          <w:spacing w:val="-3"/>
        </w:rPr>
        <w:t xml:space="preserve"> från 1937, som ansågs vara tarvlig och vulgär.</w:t>
      </w:r>
      <w:r>
        <w:rPr>
          <w:rStyle w:val="Fotnotsreferens"/>
          <w:rFonts w:ascii="Times New Roman" w:hAnsi="Times New Roman"/>
          <w:spacing w:val="-3"/>
        </w:rPr>
        <w:footnoteReference w:id="25"/>
      </w:r>
      <w:r>
        <w:rPr>
          <w:rFonts w:ascii="Times New Roman" w:hAnsi="Times New Roman"/>
          <w:spacing w:val="-3"/>
        </w:rPr>
        <w:t xml:space="preserve"> Och så skulle det fortsätta även under den tidiga efterkrigstiden, då bland annat Åsa-Nisse-filmerna utsågs till måltavla.</w:t>
      </w:r>
      <w:r>
        <w:rPr>
          <w:rStyle w:val="Fotnotsreferens"/>
          <w:rFonts w:ascii="Times New Roman" w:hAnsi="Times New Roman"/>
          <w:spacing w:val="-3"/>
        </w:rPr>
        <w:footnoteReference w:id="26"/>
      </w:r>
    </w:p>
    <w:p w14:paraId="5F139DF6"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Under mellankrigstiden reagerade också åtskilliga borgerliga debattörer mot ”dan</w:t>
      </w:r>
      <w:r>
        <w:rPr>
          <w:rFonts w:ascii="Times New Roman" w:hAnsi="Times New Roman"/>
          <w:spacing w:val="-3"/>
        </w:rPr>
        <w:t>sbaneeländet”, det vill säga mot dansens sedliga ”förslumning”.</w:t>
      </w:r>
      <w:r>
        <w:rPr>
          <w:rStyle w:val="Fotnotsreferens"/>
          <w:rFonts w:ascii="Times New Roman" w:hAnsi="Times New Roman"/>
          <w:spacing w:val="-3"/>
        </w:rPr>
        <w:footnoteReference w:id="27"/>
      </w:r>
      <w:r>
        <w:rPr>
          <w:rFonts w:ascii="Times New Roman" w:hAnsi="Times New Roman"/>
          <w:spacing w:val="-3"/>
        </w:rPr>
        <w:t xml:space="preserve"> Motsvarande reaktioner rörde under det sena 1950-talet och tidiga 1960-talet raggarna, som förknippades med öppen sexualitet, ett orgiastiskt festande och stora amerikanska bilar. Raggarna be</w:t>
      </w:r>
      <w:r>
        <w:rPr>
          <w:rFonts w:ascii="Times New Roman" w:hAnsi="Times New Roman"/>
          <w:spacing w:val="-3"/>
        </w:rPr>
        <w:t>traktades som smaklösa, vulgära och moraliskt förfallna. I samband med raggarkraveller år 1959 angrep bland annat Göteborgsposten och dess chefredaktör Harald Hjörne raggarna och menade att de var ett ”pack”. I början av 1960-talet förändrades argumentatio</w:t>
      </w:r>
      <w:r>
        <w:rPr>
          <w:rFonts w:ascii="Times New Roman" w:hAnsi="Times New Roman"/>
          <w:spacing w:val="-3"/>
        </w:rPr>
        <w:t>nen. År 1962 gjorde Stockholms stad en raggarutredning. Enligt denna var stockholmsraggarna en liten grupp med stora kontaktsvårigheter, som hade bilen som trygghet och som drack alltför mycket alkohol.</w:t>
      </w:r>
      <w:r>
        <w:rPr>
          <w:rStyle w:val="Fotnotsreferens"/>
          <w:rFonts w:ascii="Times New Roman" w:hAnsi="Times New Roman"/>
        </w:rPr>
        <w:footnoteReference w:id="28"/>
      </w:r>
    </w:p>
    <w:p w14:paraId="0E9FDFAE"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Vid mitten av 1960-talet stod den nya ungdomsstil</w:t>
      </w:r>
      <w:r>
        <w:rPr>
          <w:rFonts w:ascii="Times New Roman" w:hAnsi="Times New Roman"/>
          <w:spacing w:val="-3"/>
        </w:rPr>
        <w:t xml:space="preserve">en modsen i fokus. Framför allt väckte det långa håret negativa reaktioner. I USA vägrades Rolling Stones på många ställen att bo på hotell. Även i Sverige utsattes svenska popgrupper som </w:t>
      </w:r>
      <w:proofErr w:type="spellStart"/>
      <w:r>
        <w:rPr>
          <w:rFonts w:ascii="Times New Roman" w:hAnsi="Times New Roman"/>
          <w:spacing w:val="-3"/>
        </w:rPr>
        <w:t>Hep</w:t>
      </w:r>
      <w:proofErr w:type="spellEnd"/>
      <w:r>
        <w:rPr>
          <w:rFonts w:ascii="Times New Roman" w:hAnsi="Times New Roman"/>
          <w:spacing w:val="-3"/>
        </w:rPr>
        <w:t xml:space="preserve"> Stars, Shanes och Tages för samma sorts behandling. Dessutom nek</w:t>
      </w:r>
      <w:r>
        <w:rPr>
          <w:rFonts w:ascii="Times New Roman" w:hAnsi="Times New Roman"/>
          <w:spacing w:val="-3"/>
        </w:rPr>
        <w:t>ades de då och då att bli serverade på restauranger.</w:t>
      </w:r>
      <w:r>
        <w:rPr>
          <w:rStyle w:val="Fotnotsreferens"/>
          <w:rFonts w:ascii="Times New Roman" w:hAnsi="Times New Roman"/>
        </w:rPr>
        <w:footnoteReference w:id="29"/>
      </w:r>
      <w:r>
        <w:rPr>
          <w:rFonts w:ascii="Times New Roman" w:hAnsi="Times New Roman"/>
          <w:spacing w:val="-3"/>
        </w:rPr>
        <w:t xml:space="preserve"> Under den senare delen av 1970-talet skulle borgerligheten på motsvarande sätt reagera mot punkarnas rebelliska attityder och förhållningssätt.</w:t>
      </w:r>
    </w:p>
    <w:p w14:paraId="2654CC9C"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I Sverige var dock reaktionerna jämförelsevis modesta. </w:t>
      </w:r>
      <w:r>
        <w:rPr>
          <w:rFonts w:ascii="Times New Roman" w:hAnsi="Times New Roman"/>
          <w:spacing w:val="-3"/>
        </w:rPr>
        <w:t>I USA hade högerkristna grupper ända sedan 1890-talet reagerat mot den ungdomliga musiken och dess yttringar. Först vände man sig mot sällskapsdansen, som hotade kvinnornas moral. På 1920-talet var den fördärvliga jazzen måltavlan. Under den tidiga efterkr</w:t>
      </w:r>
      <w:r>
        <w:rPr>
          <w:rFonts w:ascii="Times New Roman" w:hAnsi="Times New Roman"/>
          <w:spacing w:val="-3"/>
        </w:rPr>
        <w:t>igstiden såg ledande kristna predikanter rocken och popen som ett moraliskt hot och i grunden ogudaktigt, som hotade traditionella familjevärderingar. Precis som i Sverige satte man likhetstecken mellan ungdomskultur och den växande ungdomsbrottsligheten.</w:t>
      </w:r>
      <w:r>
        <w:rPr>
          <w:rStyle w:val="Fotnotsreferens"/>
          <w:rFonts w:ascii="Times New Roman" w:hAnsi="Times New Roman"/>
        </w:rPr>
        <w:footnoteReference w:id="30"/>
      </w:r>
    </w:p>
    <w:p w14:paraId="1E3A5191" w14:textId="77777777" w:rsidR="00000000" w:rsidRDefault="00BC3002">
      <w:pPr>
        <w:suppressAutoHyphens/>
        <w:spacing w:line="360" w:lineRule="auto"/>
        <w:jc w:val="both"/>
        <w:rPr>
          <w:rFonts w:ascii="Times New Roman" w:hAnsi="Times New Roman"/>
          <w:snapToGrid/>
        </w:rPr>
      </w:pPr>
      <w:r>
        <w:rPr>
          <w:rFonts w:ascii="Times New Roman" w:hAnsi="Times New Roman"/>
          <w:b/>
          <w:bCs/>
          <w:spacing w:val="-3"/>
          <w:sz w:val="32"/>
          <w:szCs w:val="32"/>
        </w:rPr>
        <w:t xml:space="preserve"> </w:t>
      </w:r>
      <w:r>
        <w:rPr>
          <w:rFonts w:ascii="Times New Roman" w:hAnsi="Times New Roman"/>
          <w:spacing w:val="-3"/>
          <w:szCs w:val="32"/>
        </w:rPr>
        <w:t xml:space="preserve">  </w:t>
      </w:r>
      <w:r>
        <w:rPr>
          <w:rFonts w:ascii="Times New Roman" w:hAnsi="Times New Roman"/>
          <w:snapToGrid/>
        </w:rPr>
        <w:t xml:space="preserve">När arbetarrörelsen vände sig mot det kommersiella nöjesutbudet och arbetarklassens nöjeskonsumtion använde man delvis andra argument än vad borgerligheten gjorde och förföll inte lika ofta till moraliska panikreaktioner, men arbetarrörelsen reagerade </w:t>
      </w:r>
      <w:r>
        <w:rPr>
          <w:rFonts w:ascii="Times New Roman" w:hAnsi="Times New Roman"/>
          <w:snapToGrid/>
        </w:rPr>
        <w:t>också moraliskt. Man skulle kunna tänka sig att arbetarrörelsen framför allt reagerade mot det kommersiella nöjesutbudet, eftersom det representerade det kapitalistiska samhället och dess föreställningar, men så var inte fallet. I stället tog man avstånd f</w:t>
      </w:r>
      <w:r>
        <w:rPr>
          <w:rFonts w:ascii="Times New Roman" w:hAnsi="Times New Roman"/>
          <w:snapToGrid/>
        </w:rPr>
        <w:t xml:space="preserve">rån de kulturella </w:t>
      </w:r>
      <w:proofErr w:type="gramStart"/>
      <w:r>
        <w:rPr>
          <w:rFonts w:ascii="Times New Roman" w:hAnsi="Times New Roman"/>
          <w:snapToGrid/>
        </w:rPr>
        <w:t>uttryck, som</w:t>
      </w:r>
      <w:proofErr w:type="gramEnd"/>
      <w:r>
        <w:rPr>
          <w:rFonts w:ascii="Times New Roman" w:hAnsi="Times New Roman"/>
          <w:snapToGrid/>
        </w:rPr>
        <w:t xml:space="preserve"> gick stick i stäv mot det skötsamhetsprojekt som arbetarrörelsen – och nykterhetsrörelsen – utformade från och med den senare delen av 1800-talet. </w:t>
      </w:r>
    </w:p>
    <w:p w14:paraId="3E57F9CC" w14:textId="77777777" w:rsidR="00000000" w:rsidRDefault="00BC3002">
      <w:pPr>
        <w:suppressAutoHyphens/>
        <w:spacing w:line="360" w:lineRule="auto"/>
        <w:jc w:val="both"/>
        <w:rPr>
          <w:rFonts w:ascii="Times New Roman" w:hAnsi="Times New Roman"/>
          <w:snapToGrid/>
        </w:rPr>
      </w:pPr>
      <w:r>
        <w:rPr>
          <w:rFonts w:ascii="Times New Roman" w:hAnsi="Times New Roman"/>
          <w:snapToGrid/>
        </w:rPr>
        <w:t xml:space="preserve">   Arbetarrörelsens skötsamhetsprojekt syftade till att fostra medlemmarna i </w:t>
      </w:r>
      <w:r>
        <w:rPr>
          <w:rFonts w:ascii="Times New Roman" w:hAnsi="Times New Roman"/>
          <w:snapToGrid/>
        </w:rPr>
        <w:t>skötsamma beteendenormer och föreställningar; att utbilda dem i demokratisk föreningskunskap, så att de lärde sig att organisera sig och kunde bygga ett arbetarrörelsenätverk; samt att bilda dem så att de blev socialt och kulturellt kompetenta.</w:t>
      </w:r>
      <w:r>
        <w:rPr>
          <w:rStyle w:val="Fotnotsreferens"/>
          <w:rFonts w:ascii="Times New Roman" w:hAnsi="Times New Roman"/>
          <w:snapToGrid/>
        </w:rPr>
        <w:footnoteReference w:id="31"/>
      </w:r>
      <w:r>
        <w:rPr>
          <w:rFonts w:ascii="Times New Roman" w:hAnsi="Times New Roman"/>
          <w:snapToGrid/>
        </w:rPr>
        <w:t xml:space="preserve"> Fostransmå</w:t>
      </w:r>
      <w:r>
        <w:rPr>
          <w:rFonts w:ascii="Times New Roman" w:hAnsi="Times New Roman"/>
          <w:snapToGrid/>
        </w:rPr>
        <w:t xml:space="preserve">let medförde att arbetarrörelsens medlemmar skulle kunna behärska sina känslor och uppföra sig på ett kontrollerat och respektabelt sätt. Den som klarade utbildningsmålet tog ansvar för sig själv och sin omgivning och byggde långsiktigt upp organisationer </w:t>
      </w:r>
      <w:r>
        <w:rPr>
          <w:rFonts w:ascii="Times New Roman" w:hAnsi="Times New Roman"/>
          <w:snapToGrid/>
        </w:rPr>
        <w:t>som gav kollektiv makt. Det tredje målet innebar att den bildade människan klarade att utöva samhällelig makt. Den skötsamma föreställningsvärlden var förankrad i upplysningstänkandets begrepp som förnuft, långsiktighet, rationalitet, regelstyrning och kal</w:t>
      </w:r>
      <w:r>
        <w:rPr>
          <w:rFonts w:ascii="Times New Roman" w:hAnsi="Times New Roman"/>
          <w:snapToGrid/>
        </w:rPr>
        <w:t>kylerbarhet. Bakom låg en utilitaristisk nyttomoral.</w:t>
      </w:r>
      <w:r>
        <w:rPr>
          <w:rFonts w:ascii="Times New Roman" w:hAnsi="Times New Roman"/>
          <w:snapToGrid/>
          <w:vertAlign w:val="superscript"/>
        </w:rPr>
        <w:footnoteReference w:id="32"/>
      </w:r>
      <w:r>
        <w:rPr>
          <w:rFonts w:ascii="Times New Roman" w:hAnsi="Times New Roman"/>
          <w:snapToGrid/>
        </w:rPr>
        <w:t xml:space="preserve"> Utifrån denna moral reagerade man mot den oförnuftiga kulturkonsumtionen.</w:t>
      </w:r>
    </w:p>
    <w:p w14:paraId="5016E3F2" w14:textId="77777777" w:rsidR="00000000" w:rsidRDefault="00BC3002">
      <w:pPr>
        <w:widowControl/>
        <w:suppressAutoHyphens/>
        <w:spacing w:line="360" w:lineRule="auto"/>
        <w:jc w:val="both"/>
        <w:rPr>
          <w:rFonts w:ascii="Times New Roman" w:hAnsi="Times New Roman"/>
          <w:snapToGrid/>
        </w:rPr>
      </w:pPr>
      <w:r>
        <w:rPr>
          <w:rFonts w:ascii="Times New Roman" w:hAnsi="Times New Roman"/>
          <w:snapToGrid/>
        </w:rPr>
        <w:t xml:space="preserve">   Visst fanns det utrymme för skratt och lek, men överdrivna känslouttryck stämde inte överens med skötsamhetsprojektets förest</w:t>
      </w:r>
      <w:r>
        <w:rPr>
          <w:rFonts w:ascii="Times New Roman" w:hAnsi="Times New Roman"/>
          <w:snapToGrid/>
        </w:rPr>
        <w:t>ällningar. Det var viktigt att behärska och kontrollera sig själv. Många arbetarrörelsepionjärer var nykterister. Den berusade förlorade ju kontrollen över sitt handlande. Betoningen av det rationella innebar bland annat att arbetarrörelsens medlemmar lärd</w:t>
      </w:r>
      <w:r>
        <w:rPr>
          <w:rFonts w:ascii="Times New Roman" w:hAnsi="Times New Roman"/>
          <w:snapToGrid/>
        </w:rPr>
        <w:t>e sig att argumentera sakligt och fritt från känsloutspel. Utbildningen i föreningskunskap medförde att det också var viktigt att följa regler och långsiktiga överenskommelser.</w:t>
      </w:r>
      <w:r>
        <w:rPr>
          <w:rFonts w:ascii="Times New Roman" w:hAnsi="Times New Roman"/>
          <w:snapToGrid/>
          <w:vertAlign w:val="superscript"/>
        </w:rPr>
        <w:footnoteReference w:id="33"/>
      </w:r>
    </w:p>
    <w:p w14:paraId="193396C7" w14:textId="77777777" w:rsidR="00000000" w:rsidRDefault="00BC3002">
      <w:pPr>
        <w:widowControl/>
        <w:suppressAutoHyphens/>
        <w:spacing w:line="360" w:lineRule="auto"/>
        <w:jc w:val="both"/>
        <w:rPr>
          <w:rFonts w:ascii="Times New Roman" w:hAnsi="Times New Roman"/>
          <w:snapToGrid/>
        </w:rPr>
      </w:pPr>
      <w:r>
        <w:rPr>
          <w:rFonts w:ascii="Times New Roman" w:hAnsi="Times New Roman"/>
          <w:snapToGrid/>
        </w:rPr>
        <w:t xml:space="preserve">   Medan skötsamhetsprojektet betonade bildning, sparsamhet och långsiktig hus</w:t>
      </w:r>
      <w:r>
        <w:rPr>
          <w:rFonts w:ascii="Times New Roman" w:hAnsi="Times New Roman"/>
          <w:snapToGrid/>
        </w:rPr>
        <w:t>hållning med resurserna, präglades det kommersiella nöjesutbudet av att man hade roligt för stunden och konsumerade sitt överskott. När skötsamhetsprojektet lade vinn om saklighet och att kontrollera sina känslor, strävade massmarknadskulturens nöjen efter</w:t>
      </w:r>
      <w:r>
        <w:rPr>
          <w:rFonts w:ascii="Times New Roman" w:hAnsi="Times New Roman"/>
          <w:snapToGrid/>
        </w:rPr>
        <w:t xml:space="preserve"> att få publiken att bejaka sina känslor och skratta eller gråta eller som när det gäller idrotten ryckas med och identifiera sig med de framgångsrika idrottsutövarna i deras kamp mot sina motståndare. </w:t>
      </w:r>
    </w:p>
    <w:p w14:paraId="6B2C1E4A"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rPr>
        <w:t xml:space="preserve">   Sett ur ett arbetarrörelseperspektiv skulle kultur</w:t>
      </w:r>
      <w:r>
        <w:rPr>
          <w:rFonts w:ascii="Times New Roman" w:hAnsi="Times New Roman"/>
          <w:snapToGrid/>
        </w:rPr>
        <w:t>en bilda och utveckla arbetarklassen. Så såg inte underhållningens mål ut. År 1917 skulle bondkomikern ”Skånska Lasse” uppträda på en fest. Han förväntades roa sin publik. Men, i den socialdemokratiska vänsterkommunen i Norrköping uppstod en diskussion.</w:t>
      </w:r>
      <w:r>
        <w:rPr>
          <w:rFonts w:ascii="Times New Roman" w:hAnsi="Times New Roman"/>
          <w:snapToGrid/>
          <w:spacing w:val="-3"/>
        </w:rPr>
        <w:t xml:space="preserve"> En</w:t>
      </w:r>
      <w:r>
        <w:rPr>
          <w:rFonts w:ascii="Times New Roman" w:hAnsi="Times New Roman"/>
          <w:snapToGrid/>
          <w:spacing w:val="-3"/>
        </w:rPr>
        <w:t xml:space="preserve"> medlem protesterade eftersom han menade att arbetarrörelsens fester borde bestå av mer intellektuella och fostrande nöjen.</w:t>
      </w:r>
      <w:r>
        <w:rPr>
          <w:rFonts w:ascii="Times New Roman" w:hAnsi="Times New Roman"/>
          <w:snapToGrid/>
          <w:vertAlign w:val="superscript"/>
        </w:rPr>
        <w:footnoteReference w:id="34"/>
      </w:r>
      <w:r>
        <w:rPr>
          <w:rFonts w:ascii="Times New Roman" w:hAnsi="Times New Roman"/>
          <w:snapToGrid/>
          <w:spacing w:val="-3"/>
        </w:rPr>
        <w:t xml:space="preserve"> Samma synsätt fick arbetarförfattaren Ivar Lo-Johansson att skriva sin berömda pamflett om att han tvivlade på idrotten. Den kommer</w:t>
      </w:r>
      <w:r>
        <w:rPr>
          <w:rFonts w:ascii="Times New Roman" w:hAnsi="Times New Roman"/>
          <w:snapToGrid/>
          <w:spacing w:val="-3"/>
        </w:rPr>
        <w:t>sialiserade idrotten bildade, enligt Lo-Johansson, inte publiken, utan skapade med sin tävlingsfokusering en känslostyrd och förråad hop.</w:t>
      </w:r>
      <w:r>
        <w:rPr>
          <w:rStyle w:val="Fotnotsreferens"/>
          <w:rFonts w:ascii="Times New Roman" w:hAnsi="Times New Roman"/>
          <w:snapToGrid/>
          <w:spacing w:val="-3"/>
        </w:rPr>
        <w:footnoteReference w:id="35"/>
      </w:r>
      <w:r>
        <w:rPr>
          <w:rFonts w:ascii="Times New Roman" w:hAnsi="Times New Roman"/>
          <w:snapToGrid/>
          <w:spacing w:val="-3"/>
        </w:rPr>
        <w:t xml:space="preserve"> Det vill säga motsatsen till skötsamhetsprojektets utgångspunkter. </w:t>
      </w:r>
    </w:p>
    <w:p w14:paraId="16930076" w14:textId="77777777" w:rsidR="00000000" w:rsidRDefault="00BC3002">
      <w:pPr>
        <w:widowControl/>
        <w:suppressAutoHyphens/>
        <w:spacing w:line="360" w:lineRule="auto"/>
        <w:jc w:val="both"/>
        <w:rPr>
          <w:rFonts w:ascii="Times New Roman" w:hAnsi="Times New Roman"/>
          <w:snapToGrid/>
        </w:rPr>
      </w:pPr>
      <w:r>
        <w:rPr>
          <w:rFonts w:ascii="Times New Roman" w:hAnsi="Times New Roman"/>
          <w:snapToGrid/>
          <w:spacing w:val="-3"/>
        </w:rPr>
        <w:t xml:space="preserve">   Den socialdemokratiskt dominerade rörelsen anv</w:t>
      </w:r>
      <w:r>
        <w:rPr>
          <w:rFonts w:ascii="Times New Roman" w:hAnsi="Times New Roman"/>
          <w:snapToGrid/>
          <w:spacing w:val="-3"/>
        </w:rPr>
        <w:t>ände framför allt tre metoder för att motverka kommersialismen och verka för skötsamhet. Den första metoden var det idoga bildningsarbetet, som till en början mestadels bedrevs inom de fackliga organisationerna och i den politiska arbetarrörelsen. Snart sk</w:t>
      </w:r>
      <w:r>
        <w:rPr>
          <w:rFonts w:ascii="Times New Roman" w:hAnsi="Times New Roman"/>
          <w:snapToGrid/>
          <w:spacing w:val="-3"/>
        </w:rPr>
        <w:t xml:space="preserve">ulle dock Arbetarnas Bildningsförbund (ABF) ta över som motor i bildningsarbetet. </w:t>
      </w:r>
      <w:r>
        <w:rPr>
          <w:rFonts w:ascii="Times New Roman" w:hAnsi="Times New Roman"/>
          <w:snapToGrid/>
        </w:rPr>
        <w:t xml:space="preserve">PÅ LO-kongressen år 1922 hälsades </w:t>
      </w:r>
      <w:proofErr w:type="gramStart"/>
      <w:r>
        <w:rPr>
          <w:rFonts w:ascii="Times New Roman" w:hAnsi="Times New Roman"/>
          <w:snapToGrid/>
        </w:rPr>
        <w:t>ABFs</w:t>
      </w:r>
      <w:proofErr w:type="gramEnd"/>
      <w:r>
        <w:rPr>
          <w:rFonts w:ascii="Times New Roman" w:hAnsi="Times New Roman"/>
          <w:snapToGrid/>
        </w:rPr>
        <w:t xml:space="preserve"> representanter välkomna till kongressen med orden: ”</w:t>
      </w:r>
      <w:r>
        <w:rPr>
          <w:rFonts w:ascii="Times New Roman" w:hAnsi="Times New Roman"/>
          <w:i/>
          <w:iCs/>
          <w:snapToGrid/>
        </w:rPr>
        <w:t>Bildningsförbundet har den kolossala uppgiften att fylla arbetarnas andliga törst o</w:t>
      </w:r>
      <w:r>
        <w:rPr>
          <w:rFonts w:ascii="Times New Roman" w:hAnsi="Times New Roman"/>
          <w:i/>
          <w:iCs/>
          <w:snapToGrid/>
        </w:rPr>
        <w:t>ch giva dem god och tillfredsställande andlig näring, en uppgift som ställer stora krav.</w:t>
      </w:r>
      <w:r>
        <w:rPr>
          <w:rFonts w:ascii="Times New Roman" w:hAnsi="Times New Roman"/>
          <w:snapToGrid/>
        </w:rPr>
        <w:t>”</w:t>
      </w:r>
      <w:r>
        <w:rPr>
          <w:rStyle w:val="Fotnotsreferens"/>
          <w:rFonts w:ascii="Times New Roman" w:hAnsi="Times New Roman"/>
          <w:snapToGrid/>
        </w:rPr>
        <w:footnoteReference w:id="36"/>
      </w:r>
    </w:p>
    <w:p w14:paraId="208560D9"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rPr>
        <w:t xml:space="preserve">   Den andra metoden var att </w:t>
      </w:r>
      <w:r>
        <w:rPr>
          <w:rFonts w:ascii="Times New Roman" w:hAnsi="Times New Roman"/>
          <w:snapToGrid/>
          <w:spacing w:val="-3"/>
        </w:rPr>
        <w:t>skapa alternativ inom rörelsens hägn.</w:t>
      </w:r>
      <w:r>
        <w:rPr>
          <w:rFonts w:ascii="Times New Roman" w:hAnsi="Times New Roman"/>
          <w:snapToGrid/>
        </w:rPr>
        <w:t xml:space="preserve"> Konsumentkooperationen var ett sätt att förmå arbetarna att handla på ett rationellt sätt utan kre</w:t>
      </w:r>
      <w:r>
        <w:rPr>
          <w:rFonts w:ascii="Times New Roman" w:hAnsi="Times New Roman"/>
          <w:snapToGrid/>
        </w:rPr>
        <w:t>diter och med ett långsiktigt sparande som beståndsdel. Konsum blev alternativet till den privata, kommersiella dagligvaruhandeln.</w:t>
      </w:r>
      <w:r>
        <w:rPr>
          <w:rStyle w:val="Fotnotsreferens"/>
          <w:rFonts w:ascii="Times New Roman" w:hAnsi="Times New Roman"/>
          <w:snapToGrid/>
        </w:rPr>
        <w:footnoteReference w:id="37"/>
      </w:r>
      <w:r>
        <w:rPr>
          <w:rFonts w:ascii="Times New Roman" w:hAnsi="Times New Roman"/>
          <w:snapToGrid/>
        </w:rPr>
        <w:t xml:space="preserve"> Den socialdemokratiska pressen syftade också till att bli ett alternativ till de borgerliga tidningarna. Bildtidningen Folke</w:t>
      </w:r>
      <w:r>
        <w:rPr>
          <w:rFonts w:ascii="Times New Roman" w:hAnsi="Times New Roman"/>
          <w:snapToGrid/>
        </w:rPr>
        <w:t xml:space="preserve">t i Bild tog under perioden </w:t>
      </w:r>
      <w:proofErr w:type="gramStart"/>
      <w:r>
        <w:rPr>
          <w:rFonts w:ascii="Times New Roman" w:hAnsi="Times New Roman"/>
          <w:snapToGrid/>
        </w:rPr>
        <w:t>1934-62</w:t>
      </w:r>
      <w:proofErr w:type="gramEnd"/>
      <w:r>
        <w:rPr>
          <w:rFonts w:ascii="Times New Roman" w:hAnsi="Times New Roman"/>
          <w:snapToGrid/>
        </w:rPr>
        <w:t xml:space="preserve"> upp kampen med de kommersiella bildtidningarna. Folkets Park- och Folkets </w:t>
      </w:r>
      <w:proofErr w:type="spellStart"/>
      <w:r>
        <w:rPr>
          <w:rFonts w:ascii="Times New Roman" w:hAnsi="Times New Roman"/>
          <w:snapToGrid/>
        </w:rPr>
        <w:t>Hus-rörelserna</w:t>
      </w:r>
      <w:proofErr w:type="spellEnd"/>
      <w:r>
        <w:rPr>
          <w:rFonts w:ascii="Times New Roman" w:hAnsi="Times New Roman"/>
          <w:snapToGrid/>
        </w:rPr>
        <w:t xml:space="preserve"> startades av samma skäl – de skulle utgöra alternativ till det kommersiella nöjesutbudet och fungera som mötesplatser för arbetarrö</w:t>
      </w:r>
      <w:r>
        <w:rPr>
          <w:rFonts w:ascii="Times New Roman" w:hAnsi="Times New Roman"/>
          <w:snapToGrid/>
        </w:rPr>
        <w:t>relsen. Detsamma gällde andra bildnings- och kulturrörelser som Brevskolan, Skådebanan och Konstfrämjandet.</w:t>
      </w:r>
      <w:r>
        <w:rPr>
          <w:rStyle w:val="Fotnotsreferens"/>
          <w:rFonts w:ascii="Times New Roman" w:hAnsi="Times New Roman"/>
          <w:snapToGrid/>
        </w:rPr>
        <w:footnoteReference w:id="38"/>
      </w:r>
    </w:p>
    <w:p w14:paraId="37E11E3A"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Den tredje metoden var att starta kampanjer mot delar av det kommersiella nöjesutbudet. En av de första kampanjerna riktades mot Nick-Carter-lit</w:t>
      </w:r>
      <w:r>
        <w:rPr>
          <w:rFonts w:ascii="Times New Roman" w:hAnsi="Times New Roman"/>
          <w:snapToGrid/>
          <w:spacing w:val="-3"/>
        </w:rPr>
        <w:t xml:space="preserve">teraturen. Den blivande statsministern Per-Albin Hansson deltog i det socialdemokratiska ungdomsförbundets kampanj och manade till bojkott mot den typen av litteratur, som förledde ungdomar in på en brottslig bana. Det var samma argument som de borgerliga </w:t>
      </w:r>
      <w:r>
        <w:rPr>
          <w:rFonts w:ascii="Times New Roman" w:hAnsi="Times New Roman"/>
          <w:snapToGrid/>
          <w:spacing w:val="-3"/>
        </w:rPr>
        <w:t>debattörerna använde.</w:t>
      </w:r>
      <w:r>
        <w:rPr>
          <w:rStyle w:val="Fotnotsreferens"/>
          <w:rFonts w:ascii="Times New Roman" w:hAnsi="Times New Roman"/>
          <w:snapToGrid/>
          <w:spacing w:val="-3"/>
        </w:rPr>
        <w:footnoteReference w:id="39"/>
      </w:r>
      <w:r>
        <w:rPr>
          <w:rFonts w:ascii="Times New Roman" w:hAnsi="Times New Roman"/>
          <w:snapToGrid/>
          <w:spacing w:val="-3"/>
        </w:rPr>
        <w:t xml:space="preserve"> När det socialdemokratiska ungdomsförbundet reagerade mot Nick Carter-litteraturen vände det sig inte mot litteraturens borgerliga tendens, utan mot att böckerna var ”</w:t>
      </w:r>
      <w:r>
        <w:rPr>
          <w:rFonts w:ascii="Times New Roman" w:hAnsi="Times New Roman"/>
          <w:i/>
          <w:snapToGrid/>
          <w:spacing w:val="-3"/>
        </w:rPr>
        <w:t>förbrytarehandböcker”</w:t>
      </w:r>
      <w:r>
        <w:rPr>
          <w:rFonts w:ascii="Times New Roman" w:hAnsi="Times New Roman"/>
          <w:snapToGrid/>
          <w:spacing w:val="-3"/>
        </w:rPr>
        <w:t>.</w:t>
      </w:r>
      <w:r>
        <w:rPr>
          <w:rStyle w:val="Fotnotsreferens"/>
          <w:rFonts w:ascii="Times New Roman" w:hAnsi="Times New Roman"/>
          <w:snapToGrid/>
          <w:spacing w:val="-3"/>
        </w:rPr>
        <w:footnoteReference w:id="40"/>
      </w:r>
      <w:r>
        <w:rPr>
          <w:rFonts w:ascii="Times New Roman" w:hAnsi="Times New Roman"/>
          <w:snapToGrid/>
          <w:spacing w:val="-3"/>
        </w:rPr>
        <w:t xml:space="preserve"> Under mellankrigstiden och den tidiga efte</w:t>
      </w:r>
      <w:r>
        <w:rPr>
          <w:rFonts w:ascii="Times New Roman" w:hAnsi="Times New Roman"/>
          <w:snapToGrid/>
          <w:spacing w:val="-3"/>
        </w:rPr>
        <w:t>rkrigstiden ersattes sådana kampanjer av en strävan efter att erbjuda bildande alternativ.</w:t>
      </w:r>
      <w:r>
        <w:rPr>
          <w:rStyle w:val="Fotnotsreferens"/>
          <w:rFonts w:ascii="Times New Roman" w:hAnsi="Times New Roman"/>
          <w:snapToGrid/>
          <w:spacing w:val="-3"/>
        </w:rPr>
        <w:footnoteReference w:id="41"/>
      </w:r>
    </w:p>
    <w:p w14:paraId="52517627"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Filmen råkade ut för samma svepande kritik som nöjeslitteraturen. Före andra världskriget hade arbetarrörelsen en tämligen negativ inställning till filmmediet, s</w:t>
      </w:r>
      <w:r>
        <w:rPr>
          <w:rFonts w:ascii="Times New Roman" w:hAnsi="Times New Roman"/>
          <w:snapToGrid/>
          <w:spacing w:val="-3"/>
        </w:rPr>
        <w:t>om representerade det kommersiella nöjesutbudet, med en betoning på lätt underhållning utan djup och förljugna värderingar. Man vände sig också mot ”amerikaniseringen”. Samtidigt var rörelsen tidigt ute med att använda filmen som redskap inför de politiska</w:t>
      </w:r>
      <w:r>
        <w:rPr>
          <w:rFonts w:ascii="Times New Roman" w:hAnsi="Times New Roman"/>
          <w:snapToGrid/>
          <w:spacing w:val="-3"/>
        </w:rPr>
        <w:t xml:space="preserve"> valen. I anslutning till sin strävan efter att utveckla alternativ till det kommersiella nöjesutbudet, byggde dessutom arbetarrörelsen i slutet av 1930-talet upp egen filmproduktion och filmdistribution.</w:t>
      </w:r>
      <w:r>
        <w:rPr>
          <w:rStyle w:val="Fotnotsreferens"/>
          <w:rFonts w:ascii="Times New Roman" w:hAnsi="Times New Roman"/>
          <w:snapToGrid/>
          <w:spacing w:val="-3"/>
        </w:rPr>
        <w:footnoteReference w:id="42"/>
      </w:r>
    </w:p>
    <w:p w14:paraId="1A2EA344"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Under den tidiga efterkrigstiden expanderade AB</w:t>
      </w:r>
      <w:r>
        <w:rPr>
          <w:rFonts w:ascii="Times New Roman" w:hAnsi="Times New Roman"/>
          <w:snapToGrid/>
          <w:spacing w:val="-3"/>
        </w:rPr>
        <w:t xml:space="preserve">F betydligt och intensifierade samtidigt sitt kulturarbete. 1974 års socialdemokratiska kulturpolitik spelade stor roll för att stödja denna utveckling. Utöver den bildade studiecirkelverksamheten utvecklades kulturarbetet och det fria skapandet. Återigen </w:t>
      </w:r>
      <w:r>
        <w:rPr>
          <w:rFonts w:ascii="Times New Roman" w:hAnsi="Times New Roman"/>
          <w:snapToGrid/>
          <w:spacing w:val="-3"/>
        </w:rPr>
        <w:t>strävade arbetarrörelsen efter att skapa alternativ till den kommersiella massmarknaden, samtidigt som kultur- och bildningsarbetet skulle utövas inom rörelsens hägn och kontroll.</w:t>
      </w:r>
      <w:r>
        <w:rPr>
          <w:rStyle w:val="Fotnotsreferens"/>
          <w:rFonts w:ascii="Times New Roman" w:hAnsi="Times New Roman"/>
          <w:snapToGrid/>
          <w:spacing w:val="-3"/>
        </w:rPr>
        <w:footnoteReference w:id="43"/>
      </w:r>
      <w:r>
        <w:rPr>
          <w:rFonts w:ascii="Times New Roman" w:hAnsi="Times New Roman"/>
          <w:snapToGrid/>
          <w:spacing w:val="-3"/>
        </w:rPr>
        <w:t xml:space="preserve"> Flertalet av de rörelseknutna organisationerna har numera lagts ned, men fo</w:t>
      </w:r>
      <w:r>
        <w:rPr>
          <w:rFonts w:ascii="Times New Roman" w:hAnsi="Times New Roman"/>
          <w:snapToGrid/>
          <w:spacing w:val="-3"/>
        </w:rPr>
        <w:t xml:space="preserve">rtfarande präglas </w:t>
      </w:r>
      <w:proofErr w:type="gramStart"/>
      <w:r>
        <w:rPr>
          <w:rFonts w:ascii="Times New Roman" w:hAnsi="Times New Roman"/>
          <w:snapToGrid/>
          <w:spacing w:val="-3"/>
        </w:rPr>
        <w:t>ABFs</w:t>
      </w:r>
      <w:proofErr w:type="gramEnd"/>
      <w:r>
        <w:rPr>
          <w:rFonts w:ascii="Times New Roman" w:hAnsi="Times New Roman"/>
          <w:snapToGrid/>
          <w:spacing w:val="-3"/>
        </w:rPr>
        <w:t xml:space="preserve"> verksamhet av en negativ inställning till kommersialismen.</w:t>
      </w:r>
      <w:r>
        <w:rPr>
          <w:rStyle w:val="Fotnotsreferens"/>
          <w:rFonts w:ascii="Times New Roman" w:hAnsi="Times New Roman"/>
          <w:snapToGrid/>
          <w:spacing w:val="-3"/>
        </w:rPr>
        <w:footnoteReference w:id="44"/>
      </w:r>
    </w:p>
    <w:p w14:paraId="0A3A2D2A"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Betoningen av aktivitet och det fria skapandet liknade det synsätt som dominerade inom den ”progressiva” musikrörelsen. Arbetarrörelsen hade en kluven relation till denna</w:t>
      </w:r>
      <w:r>
        <w:rPr>
          <w:rFonts w:ascii="Times New Roman" w:hAnsi="Times New Roman"/>
          <w:snapToGrid/>
          <w:spacing w:val="-3"/>
        </w:rPr>
        <w:t xml:space="preserve">. När ”proggen” </w:t>
      </w:r>
      <w:r>
        <w:rPr>
          <w:rFonts w:ascii="Times New Roman" w:hAnsi="Times New Roman"/>
          <w:snapToGrid/>
        </w:rPr>
        <w:t xml:space="preserve">gjorde musiken till spelplan för kampen mot kommersiella kulturyttringar startade den rörelseknutna bildningsorganisationen Brevskolan skivbolaget A </w:t>
      </w:r>
      <w:proofErr w:type="spellStart"/>
      <w:r>
        <w:rPr>
          <w:rFonts w:ascii="Times New Roman" w:hAnsi="Times New Roman"/>
          <w:snapToGrid/>
        </w:rPr>
        <w:t>Disc</w:t>
      </w:r>
      <w:proofErr w:type="spellEnd"/>
      <w:r>
        <w:rPr>
          <w:rFonts w:ascii="Times New Roman" w:hAnsi="Times New Roman"/>
          <w:snapToGrid/>
        </w:rPr>
        <w:t>, för att också arbetarrörelsen skulle ge ut icke-kommersiell musik. Samtidigt var dett</w:t>
      </w:r>
      <w:r>
        <w:rPr>
          <w:rFonts w:ascii="Times New Roman" w:hAnsi="Times New Roman"/>
          <w:snapToGrid/>
        </w:rPr>
        <w:t xml:space="preserve">a ett försök att finna vägar in i musikrörelsen. </w:t>
      </w:r>
      <w:r>
        <w:rPr>
          <w:rFonts w:ascii="Times New Roman" w:hAnsi="Times New Roman"/>
          <w:snapToGrid/>
          <w:spacing w:val="-3"/>
        </w:rPr>
        <w:t>Nu var det inte så lätt, eftersom det fanns en långt gången skepsis inom musikrörelsen mot den socialdemokratiskt dominerade arbetarrörelsen.</w:t>
      </w:r>
      <w:r>
        <w:rPr>
          <w:rStyle w:val="Fotnotsreferens"/>
          <w:rFonts w:ascii="Times New Roman" w:hAnsi="Times New Roman"/>
          <w:snapToGrid/>
          <w:spacing w:val="-3"/>
        </w:rPr>
        <w:footnoteReference w:id="45"/>
      </w:r>
    </w:p>
    <w:p w14:paraId="74E36657"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I början av 1970-talet växte den ”progressiva” musikrörelsen </w:t>
      </w:r>
      <w:r>
        <w:rPr>
          <w:rFonts w:ascii="Times New Roman" w:hAnsi="Times New Roman"/>
          <w:snapToGrid/>
          <w:spacing w:val="-3"/>
        </w:rPr>
        <w:t>fram till vänster om den socialdemokratiskt dominerade arbetarrörelsen. I likhet med arbetarrörelsen framhöll ”proggen” framför allt det egna alternativet till det kommersiella nöjesutbudet. En skillnad var att musikrörelsen hade en mer aktivistisk inställ</w:t>
      </w:r>
      <w:r>
        <w:rPr>
          <w:rFonts w:ascii="Times New Roman" w:hAnsi="Times New Roman"/>
          <w:snapToGrid/>
          <w:spacing w:val="-3"/>
        </w:rPr>
        <w:t>ning till nöjesutbudet. Precis som inom arbetarrörelsen var antikommersialismen djupt förankrad i musikrörelsen. Här möttes det sena 1960-talets hippietradition med den samtida nya vänstern och för dessa grupper var antikommersialismen en gemensam nämnare.</w:t>
      </w:r>
      <w:r>
        <w:rPr>
          <w:rFonts w:ascii="Times New Roman" w:hAnsi="Times New Roman"/>
          <w:snapToGrid/>
          <w:spacing w:val="-3"/>
        </w:rPr>
        <w:t xml:space="preserve"> Här förenades improviserande musiker som betonade det musikaliska språket, med vänsterrörelsens rock, där det textmässiga budskapet sattes främst.</w:t>
      </w:r>
      <w:r>
        <w:rPr>
          <w:rStyle w:val="Fotnotsreferens"/>
          <w:rFonts w:ascii="Times New Roman" w:hAnsi="Times New Roman"/>
          <w:szCs w:val="24"/>
        </w:rPr>
        <w:footnoteReference w:id="46"/>
      </w:r>
      <w:r>
        <w:rPr>
          <w:rFonts w:ascii="Times New Roman" w:hAnsi="Times New Roman"/>
          <w:snapToGrid/>
          <w:spacing w:val="-3"/>
        </w:rPr>
        <w:t xml:space="preserve"> Rörelsen byggde upp egna institutioner i form av distributionsnätet SAM-distribution och skivbolagen MNW, </w:t>
      </w:r>
      <w:proofErr w:type="spellStart"/>
      <w:r>
        <w:rPr>
          <w:rFonts w:ascii="Times New Roman" w:hAnsi="Times New Roman"/>
          <w:snapToGrid/>
          <w:spacing w:val="-3"/>
        </w:rPr>
        <w:t>S</w:t>
      </w:r>
      <w:r>
        <w:rPr>
          <w:rFonts w:ascii="Times New Roman" w:hAnsi="Times New Roman"/>
          <w:snapToGrid/>
          <w:spacing w:val="-3"/>
        </w:rPr>
        <w:t>ilence</w:t>
      </w:r>
      <w:proofErr w:type="spellEnd"/>
      <w:r>
        <w:rPr>
          <w:rFonts w:ascii="Times New Roman" w:hAnsi="Times New Roman"/>
          <w:snapToGrid/>
          <w:spacing w:val="-3"/>
        </w:rPr>
        <w:t xml:space="preserve"> och Nacksving, vilka snart skulle få sällskap av ännu fler skivbolag; av lokala Musikforum, som tillsammans bildade Kontaktnätet; samt av tidningen Musikens Makt (</w:t>
      </w:r>
      <w:proofErr w:type="gramStart"/>
      <w:r>
        <w:rPr>
          <w:rFonts w:ascii="Times New Roman" w:hAnsi="Times New Roman"/>
          <w:snapToGrid/>
          <w:spacing w:val="-3"/>
        </w:rPr>
        <w:t>1973-80</w:t>
      </w:r>
      <w:proofErr w:type="gramEnd"/>
      <w:r>
        <w:rPr>
          <w:rFonts w:ascii="Times New Roman" w:hAnsi="Times New Roman"/>
          <w:snapToGrid/>
          <w:spacing w:val="-3"/>
        </w:rPr>
        <w:t xml:space="preserve">). I Musikens Makts första nummer från 1973 finns följande programförklaring: </w:t>
      </w:r>
    </w:p>
    <w:p w14:paraId="52DA1FC0" w14:textId="77777777" w:rsidR="00000000" w:rsidRDefault="00BC3002">
      <w:pPr>
        <w:widowControl/>
        <w:suppressAutoHyphens/>
        <w:spacing w:line="360" w:lineRule="auto"/>
        <w:jc w:val="both"/>
        <w:rPr>
          <w:rFonts w:ascii="Times New Roman" w:hAnsi="Times New Roman"/>
        </w:rPr>
      </w:pPr>
      <w:r>
        <w:rPr>
          <w:i/>
          <w:iCs/>
        </w:rPr>
        <w:t xml:space="preserve">   </w:t>
      </w:r>
      <w:r>
        <w:rPr>
          <w:rFonts w:ascii="Times New Roman" w:hAnsi="Times New Roman"/>
          <w:i/>
          <w:iCs/>
        </w:rPr>
        <w:t xml:space="preserve">”Maktens musik, </w:t>
      </w:r>
      <w:hyperlink r:id="rId7" w:tooltip="Svensktoppen" w:history="1">
        <w:r>
          <w:rPr>
            <w:rStyle w:val="Hyperlnk"/>
            <w:rFonts w:ascii="Times New Roman" w:hAnsi="Times New Roman"/>
            <w:i/>
            <w:iCs/>
          </w:rPr>
          <w:t>Svensktoppens</w:t>
        </w:r>
      </w:hyperlink>
      <w:r>
        <w:rPr>
          <w:rFonts w:ascii="Times New Roman" w:hAnsi="Times New Roman"/>
          <w:i/>
          <w:iCs/>
        </w:rPr>
        <w:t xml:space="preserve"> och </w:t>
      </w:r>
      <w:hyperlink r:id="rId8" w:tooltip="Hit" w:history="1">
        <w:r>
          <w:rPr>
            <w:rStyle w:val="Hyperlnk"/>
            <w:rFonts w:ascii="Times New Roman" w:hAnsi="Times New Roman"/>
            <w:i/>
            <w:iCs/>
          </w:rPr>
          <w:t>hitlistornas</w:t>
        </w:r>
      </w:hyperlink>
      <w:r>
        <w:rPr>
          <w:rFonts w:ascii="Times New Roman" w:hAnsi="Times New Roman"/>
          <w:i/>
          <w:iCs/>
        </w:rPr>
        <w:t xml:space="preserve"> eländiga dravel bygger upp en skog av fördomar och söver ner oss till pa</w:t>
      </w:r>
      <w:r>
        <w:rPr>
          <w:rFonts w:ascii="Times New Roman" w:hAnsi="Times New Roman"/>
          <w:i/>
          <w:iCs/>
        </w:rPr>
        <w:t xml:space="preserve">ssiva konsumenter. Med musikens makt ska vi gå till strid för en levande </w:t>
      </w:r>
      <w:hyperlink r:id="rId9" w:tooltip="Progressiv" w:history="1">
        <w:r>
          <w:rPr>
            <w:rStyle w:val="Hyperlnk"/>
            <w:rFonts w:ascii="Times New Roman" w:hAnsi="Times New Roman"/>
            <w:i/>
            <w:iCs/>
          </w:rPr>
          <w:t>progressiv</w:t>
        </w:r>
      </w:hyperlink>
      <w:r>
        <w:rPr>
          <w:rFonts w:ascii="Times New Roman" w:hAnsi="Times New Roman"/>
          <w:i/>
          <w:iCs/>
        </w:rPr>
        <w:t xml:space="preserve"> musikkultur. En musik som aktiverar oss. Ger uttryck för oss själva och den tid vi lever i.”</w:t>
      </w:r>
      <w:r>
        <w:rPr>
          <w:rStyle w:val="Fotnotsreferens"/>
          <w:rFonts w:ascii="Times New Roman" w:hAnsi="Times New Roman"/>
          <w:i/>
          <w:iCs/>
        </w:rPr>
        <w:footnoteReference w:id="47"/>
      </w:r>
    </w:p>
    <w:p w14:paraId="1500E43E" w14:textId="77777777" w:rsidR="00000000" w:rsidRDefault="00BC3002">
      <w:pPr>
        <w:spacing w:line="360" w:lineRule="auto"/>
        <w:jc w:val="both"/>
        <w:rPr>
          <w:rFonts w:ascii="Times New Roman" w:hAnsi="Times New Roman"/>
        </w:rPr>
      </w:pPr>
      <w:r>
        <w:rPr>
          <w:rFonts w:ascii="Times New Roman" w:hAnsi="Times New Roman"/>
        </w:rPr>
        <w:t xml:space="preserve">   Den</w:t>
      </w:r>
      <w:r>
        <w:rPr>
          <w:rFonts w:ascii="Times New Roman" w:hAnsi="Times New Roman"/>
        </w:rPr>
        <w:t xml:space="preserve"> kommersiella kulturen gjorde alltså lyssnarna till passiva konsumenter. Alternativet var att skapa en rörelse som byggde på aktivt deltagande – där alla kunde spela och sjunga. Fyra år senare gjorde tidningen utifrån samma syn på den kommersiella musikens</w:t>
      </w:r>
      <w:r>
        <w:rPr>
          <w:rFonts w:ascii="Times New Roman" w:hAnsi="Times New Roman"/>
        </w:rPr>
        <w:t xml:space="preserve"> förförande roll en liknande åtskillnad mellan kommersiell och icke-kommersiell musik. </w:t>
      </w:r>
    </w:p>
    <w:p w14:paraId="5E40C9AE" w14:textId="77777777" w:rsidR="00000000" w:rsidRDefault="00BC3002">
      <w:pPr>
        <w:spacing w:line="360" w:lineRule="auto"/>
        <w:jc w:val="both"/>
        <w:rPr>
          <w:rFonts w:ascii="Times New Roman" w:hAnsi="Times New Roman"/>
          <w:i/>
          <w:iCs/>
        </w:rPr>
      </w:pPr>
      <w:r>
        <w:rPr>
          <w:rFonts w:ascii="Times New Roman" w:hAnsi="Times New Roman"/>
        </w:rPr>
        <w:t xml:space="preserve">   ”</w:t>
      </w:r>
      <w:r>
        <w:rPr>
          <w:rFonts w:ascii="Times New Roman" w:hAnsi="Times New Roman"/>
          <w:i/>
          <w:iCs/>
        </w:rPr>
        <w:t>Det finns ett diskotek i Karlskogas centrum. Ett diskotek där pengarna rullar i takt med tuggummipopen. Musikanläggningen dränker alla försök till vettig kontakt oc</w:t>
      </w:r>
      <w:r>
        <w:rPr>
          <w:rFonts w:ascii="Times New Roman" w:hAnsi="Times New Roman"/>
          <w:i/>
          <w:iCs/>
        </w:rPr>
        <w:t xml:space="preserve">h platåskorna utkämpar en evig kamp mot dom senaste modejeansen på dansgolvet.   </w:t>
      </w:r>
    </w:p>
    <w:p w14:paraId="76860A06" w14:textId="77777777" w:rsidR="00000000" w:rsidRDefault="00BC3002">
      <w:pPr>
        <w:spacing w:line="360" w:lineRule="auto"/>
        <w:jc w:val="both"/>
        <w:rPr>
          <w:rFonts w:ascii="Times New Roman" w:hAnsi="Times New Roman"/>
        </w:rPr>
      </w:pPr>
      <w:r>
        <w:rPr>
          <w:rFonts w:ascii="Times New Roman" w:hAnsi="Times New Roman"/>
          <w:i/>
          <w:iCs/>
        </w:rPr>
        <w:t xml:space="preserve">   Här kunde det ha funnits ett fungerande progressivt musikställe.   ... I den ständiga kampen </w:t>
      </w:r>
      <w:proofErr w:type="spellStart"/>
      <w:r>
        <w:rPr>
          <w:rFonts w:ascii="Times New Roman" w:hAnsi="Times New Roman"/>
          <w:i/>
          <w:iCs/>
        </w:rPr>
        <w:t>mella</w:t>
      </w:r>
      <w:proofErr w:type="spellEnd"/>
      <w:r>
        <w:rPr>
          <w:rFonts w:ascii="Times New Roman" w:hAnsi="Times New Roman"/>
          <w:i/>
          <w:iCs/>
        </w:rPr>
        <w:t xml:space="preserve"> (sic) den kommersiella och den icke-kommersiella kulturen har den kommer</w:t>
      </w:r>
      <w:r>
        <w:rPr>
          <w:rFonts w:ascii="Times New Roman" w:hAnsi="Times New Roman"/>
          <w:i/>
          <w:iCs/>
        </w:rPr>
        <w:t>siella kulturen vunnit en delseger</w:t>
      </w:r>
      <w:r>
        <w:rPr>
          <w:rFonts w:ascii="Times New Roman" w:hAnsi="Times New Roman"/>
        </w:rPr>
        <w:t>.”</w:t>
      </w:r>
      <w:r>
        <w:rPr>
          <w:rStyle w:val="Fotnotsreferens"/>
          <w:rFonts w:ascii="Times New Roman" w:hAnsi="Times New Roman"/>
        </w:rPr>
        <w:footnoteReference w:id="48"/>
      </w:r>
    </w:p>
    <w:p w14:paraId="0F3B8503"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När proggen tog upp antikommersialismen behandlades konsumenterna genomgående som förförda offer. Så var det bland annat i </w:t>
      </w:r>
      <w:r>
        <w:rPr>
          <w:rFonts w:ascii="Times New Roman" w:hAnsi="Times New Roman"/>
          <w:i/>
          <w:iCs/>
          <w:snapToGrid/>
          <w:spacing w:val="-3"/>
        </w:rPr>
        <w:t>Guldkalven</w:t>
      </w:r>
      <w:r>
        <w:rPr>
          <w:rFonts w:ascii="Times New Roman" w:hAnsi="Times New Roman"/>
          <w:snapToGrid/>
          <w:spacing w:val="-3"/>
        </w:rPr>
        <w:t xml:space="preserve"> av folkrockarna Contact; </w:t>
      </w:r>
      <w:r>
        <w:rPr>
          <w:rFonts w:ascii="Times New Roman" w:hAnsi="Times New Roman"/>
          <w:i/>
          <w:iCs/>
          <w:snapToGrid/>
          <w:spacing w:val="-3"/>
        </w:rPr>
        <w:t>Vem kan man lita på?</w:t>
      </w:r>
      <w:r>
        <w:rPr>
          <w:rFonts w:ascii="Times New Roman" w:hAnsi="Times New Roman"/>
          <w:snapToGrid/>
          <w:spacing w:val="-3"/>
        </w:rPr>
        <w:t xml:space="preserve"> av Hoola Bandoola Band, som handlar</w:t>
      </w:r>
      <w:r>
        <w:rPr>
          <w:rFonts w:ascii="Times New Roman" w:hAnsi="Times New Roman"/>
          <w:snapToGrid/>
          <w:spacing w:val="-3"/>
        </w:rPr>
        <w:t xml:space="preserve"> om att det inte går att använda kända personer som rättesnören; och </w:t>
      </w:r>
      <w:r>
        <w:rPr>
          <w:rFonts w:ascii="Times New Roman" w:hAnsi="Times New Roman"/>
          <w:i/>
          <w:iCs/>
          <w:snapToGrid/>
          <w:spacing w:val="-3"/>
        </w:rPr>
        <w:t>Stena Olssons Compagnie</w:t>
      </w:r>
      <w:r>
        <w:rPr>
          <w:rFonts w:ascii="Times New Roman" w:hAnsi="Times New Roman"/>
          <w:snapToGrid/>
          <w:spacing w:val="-3"/>
        </w:rPr>
        <w:t xml:space="preserve"> av Nationalteatern – om hur den kommersiella massmarknadskulturen lurar folk. Nationalteaterns </w:t>
      </w:r>
      <w:r>
        <w:rPr>
          <w:rFonts w:ascii="Times New Roman" w:hAnsi="Times New Roman"/>
          <w:i/>
          <w:iCs/>
          <w:snapToGrid/>
          <w:spacing w:val="-3"/>
        </w:rPr>
        <w:t>Livet är en fest</w:t>
      </w:r>
      <w:r>
        <w:rPr>
          <w:rFonts w:ascii="Times New Roman" w:hAnsi="Times New Roman"/>
          <w:snapToGrid/>
          <w:spacing w:val="-3"/>
        </w:rPr>
        <w:t xml:space="preserve"> kan också ses som en kritik av nöjeskonsumtionen. Ä</w:t>
      </w:r>
      <w:r>
        <w:rPr>
          <w:rFonts w:ascii="Times New Roman" w:hAnsi="Times New Roman"/>
          <w:snapToGrid/>
          <w:spacing w:val="-3"/>
        </w:rPr>
        <w:t xml:space="preserve">ven de intellektuella bohemerna i Blå Tåget utgick från offerperspektivet i </w:t>
      </w:r>
      <w:proofErr w:type="spellStart"/>
      <w:r>
        <w:rPr>
          <w:rFonts w:ascii="Times New Roman" w:hAnsi="Times New Roman"/>
          <w:i/>
          <w:iCs/>
          <w:snapToGrid/>
          <w:spacing w:val="-3"/>
        </w:rPr>
        <w:t>I</w:t>
      </w:r>
      <w:proofErr w:type="spellEnd"/>
      <w:r>
        <w:rPr>
          <w:rFonts w:ascii="Times New Roman" w:hAnsi="Times New Roman"/>
          <w:i/>
          <w:iCs/>
          <w:snapToGrid/>
          <w:spacing w:val="-3"/>
        </w:rPr>
        <w:t xml:space="preserve"> Hagalund</w:t>
      </w:r>
      <w:r>
        <w:rPr>
          <w:rFonts w:ascii="Times New Roman" w:hAnsi="Times New Roman"/>
          <w:snapToGrid/>
          <w:spacing w:val="-3"/>
        </w:rPr>
        <w:t>.</w:t>
      </w:r>
      <w:r>
        <w:rPr>
          <w:rStyle w:val="Fotnotsreferens"/>
          <w:rFonts w:ascii="Times New Roman" w:hAnsi="Times New Roman"/>
          <w:snapToGrid/>
          <w:spacing w:val="-3"/>
        </w:rPr>
        <w:footnoteReference w:id="49"/>
      </w:r>
    </w:p>
    <w:p w14:paraId="796A8F3D"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År 1975 ordnade musikrörelsen alternativa schlagerfestivaler runt om i landet, eftersom Sveriges Television efter </w:t>
      </w:r>
      <w:proofErr w:type="gramStart"/>
      <w:r>
        <w:rPr>
          <w:rFonts w:ascii="Times New Roman" w:hAnsi="Times New Roman"/>
          <w:snapToGrid/>
          <w:spacing w:val="-3"/>
        </w:rPr>
        <w:t>ABBAs</w:t>
      </w:r>
      <w:proofErr w:type="gramEnd"/>
      <w:r>
        <w:rPr>
          <w:rFonts w:ascii="Times New Roman" w:hAnsi="Times New Roman"/>
          <w:snapToGrid/>
          <w:spacing w:val="-3"/>
        </w:rPr>
        <w:t xml:space="preserve"> vinst med </w:t>
      </w:r>
      <w:r>
        <w:rPr>
          <w:rFonts w:ascii="Times New Roman" w:hAnsi="Times New Roman"/>
          <w:i/>
          <w:snapToGrid/>
          <w:spacing w:val="-3"/>
        </w:rPr>
        <w:t>Waterloo</w:t>
      </w:r>
      <w:r>
        <w:rPr>
          <w:rFonts w:ascii="Times New Roman" w:hAnsi="Times New Roman"/>
          <w:snapToGrid/>
          <w:spacing w:val="-3"/>
        </w:rPr>
        <w:t xml:space="preserve"> år 1974 hade ansvar för å</w:t>
      </w:r>
      <w:r>
        <w:rPr>
          <w:rFonts w:ascii="Times New Roman" w:hAnsi="Times New Roman"/>
          <w:snapToGrid/>
          <w:spacing w:val="-3"/>
        </w:rPr>
        <w:t xml:space="preserve">rets Eurovision Song Contest. Till det tillfället skrev Ulf Dageby låten </w:t>
      </w:r>
      <w:proofErr w:type="spellStart"/>
      <w:r>
        <w:rPr>
          <w:rFonts w:ascii="Times New Roman" w:hAnsi="Times New Roman"/>
          <w:i/>
          <w:iCs/>
          <w:snapToGrid/>
          <w:spacing w:val="-3"/>
        </w:rPr>
        <w:t>Doing</w:t>
      </w:r>
      <w:proofErr w:type="spellEnd"/>
      <w:r>
        <w:rPr>
          <w:rFonts w:ascii="Times New Roman" w:hAnsi="Times New Roman"/>
          <w:i/>
          <w:iCs/>
          <w:snapToGrid/>
          <w:spacing w:val="-3"/>
        </w:rPr>
        <w:t xml:space="preserve"> the omoralisk schlagerfestival</w:t>
      </w:r>
      <w:r>
        <w:rPr>
          <w:rFonts w:ascii="Times New Roman" w:hAnsi="Times New Roman"/>
          <w:snapToGrid/>
          <w:spacing w:val="-3"/>
        </w:rPr>
        <w:t>. I den sammanfattar han musikrörelsens syn på den kommersiella masskulturen. Här kritiserade han schlagerindustrin för att strunta i politiken. Ha</w:t>
      </w:r>
      <w:r>
        <w:rPr>
          <w:rFonts w:ascii="Times New Roman" w:hAnsi="Times New Roman"/>
          <w:snapToGrid/>
          <w:spacing w:val="-3"/>
        </w:rPr>
        <w:t>n sjöng även ”</w:t>
      </w:r>
      <w:r>
        <w:rPr>
          <w:rFonts w:ascii="Times New Roman" w:hAnsi="Times New Roman"/>
          <w:i/>
          <w:iCs/>
          <w:snapToGrid/>
          <w:spacing w:val="-3"/>
        </w:rPr>
        <w:t>Här kommer ABBA i kläder av plast/ Lika döda som sillkonserver</w:t>
      </w:r>
      <w:r>
        <w:rPr>
          <w:rFonts w:ascii="Times New Roman" w:hAnsi="Times New Roman"/>
          <w:snapToGrid/>
          <w:spacing w:val="-3"/>
        </w:rPr>
        <w:t xml:space="preserve">”. De kommersiellt mycket framgångsrika ABBA representerade det förljugna, det plastiga och onaturliga och använde musiken för att tjäna pengar. Dageby kommenterade också gruppens </w:t>
      </w:r>
      <w:r>
        <w:rPr>
          <w:rFonts w:ascii="Times New Roman" w:hAnsi="Times New Roman"/>
          <w:snapToGrid/>
          <w:spacing w:val="-3"/>
        </w:rPr>
        <w:t>manager Stickan Andersson med ”</w:t>
      </w:r>
      <w:r>
        <w:rPr>
          <w:rFonts w:ascii="Times New Roman" w:hAnsi="Times New Roman"/>
          <w:i/>
          <w:iCs/>
          <w:snapToGrid/>
          <w:spacing w:val="-3"/>
        </w:rPr>
        <w:t>han tycker folk är dumt/ producerar romantik/ men kärleken är Stickan får en spark/ som passar ett cyniskt svin</w:t>
      </w:r>
      <w:r>
        <w:rPr>
          <w:rFonts w:ascii="Times New Roman" w:hAnsi="Times New Roman"/>
          <w:snapToGrid/>
          <w:spacing w:val="-3"/>
        </w:rPr>
        <w:t>”.</w:t>
      </w:r>
      <w:r>
        <w:rPr>
          <w:rStyle w:val="Fotnotsreferens"/>
          <w:rFonts w:ascii="Times New Roman" w:hAnsi="Times New Roman"/>
          <w:snapToGrid/>
          <w:spacing w:val="-3"/>
        </w:rPr>
        <w:footnoteReference w:id="50"/>
      </w:r>
      <w:r>
        <w:rPr>
          <w:rFonts w:ascii="Times New Roman" w:hAnsi="Times New Roman"/>
          <w:snapToGrid/>
          <w:spacing w:val="-3"/>
        </w:rPr>
        <w:t xml:space="preserve"> Denna typ av moralistisk kritik liknar i långa stycken den som arbetarrörelsen långt tidigare riktade mot det </w:t>
      </w:r>
      <w:r>
        <w:rPr>
          <w:rFonts w:ascii="Times New Roman" w:hAnsi="Times New Roman"/>
          <w:snapToGrid/>
          <w:spacing w:val="-3"/>
        </w:rPr>
        <w:t>kommersiella nöjesutbudet – de kapitalistiska producenterna spekulerade i förförande känslor.</w:t>
      </w:r>
    </w:p>
    <w:p w14:paraId="08061E7C"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Denna genomgång visar att såväl borgerligheten, arbetarrörelsen och musikrörelsen på liknande sätt kritiserade arbetarbefolkningens kulturkonsumtion under hela</w:t>
      </w:r>
      <w:r>
        <w:rPr>
          <w:rFonts w:ascii="Times New Roman" w:hAnsi="Times New Roman"/>
          <w:snapToGrid/>
          <w:spacing w:val="-3"/>
        </w:rPr>
        <w:t xml:space="preserve"> undersökningsperioden från det tidiga 1900-talet till 1970-talet. Sett utifrån kritikernas perspektiv fanns det en kontinuitet i kulturkonsumtionen. Ett annat genomgående drag är också att kritiken ser konsumtionen av massmarknadskulturen på ett sådant ne</w:t>
      </w:r>
      <w:r>
        <w:rPr>
          <w:rFonts w:ascii="Times New Roman" w:hAnsi="Times New Roman"/>
          <w:snapToGrid/>
          <w:spacing w:val="-3"/>
        </w:rPr>
        <w:t>dvärderande sätt.</w:t>
      </w:r>
    </w:p>
    <w:p w14:paraId="6DCC3052" w14:textId="77777777" w:rsidR="00000000" w:rsidRDefault="00BC3002">
      <w:pPr>
        <w:suppressAutoHyphens/>
        <w:spacing w:line="360" w:lineRule="auto"/>
        <w:jc w:val="both"/>
        <w:rPr>
          <w:rFonts w:ascii="Times New Roman" w:hAnsi="Times New Roman"/>
          <w:b/>
          <w:bCs/>
          <w:spacing w:val="-3"/>
          <w:szCs w:val="32"/>
        </w:rPr>
      </w:pPr>
    </w:p>
    <w:p w14:paraId="4D66993F" w14:textId="77777777" w:rsidR="00000000" w:rsidRDefault="00BC3002">
      <w:pPr>
        <w:suppressAutoHyphens/>
        <w:spacing w:line="360" w:lineRule="auto"/>
        <w:jc w:val="both"/>
        <w:rPr>
          <w:rFonts w:ascii="Times New Roman" w:hAnsi="Times New Roman"/>
          <w:b/>
          <w:bCs/>
          <w:spacing w:val="-3"/>
          <w:sz w:val="32"/>
          <w:szCs w:val="32"/>
        </w:rPr>
      </w:pPr>
      <w:r>
        <w:rPr>
          <w:rFonts w:ascii="Times New Roman" w:hAnsi="Times New Roman"/>
          <w:b/>
          <w:bCs/>
          <w:spacing w:val="-3"/>
          <w:sz w:val="32"/>
          <w:szCs w:val="32"/>
        </w:rPr>
        <w:t>Marknadens ”invasion”</w:t>
      </w:r>
    </w:p>
    <w:p w14:paraId="7411EF9C"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napToGrid/>
          <w:spacing w:val="-3"/>
        </w:rPr>
        <w:t>Nu byter jag perspektiv och använder arbetarminnesmaterial för att undersöka hur arbetarklassen såg på sin egen kulturkonsumtion.</w:t>
      </w:r>
      <w:r>
        <w:rPr>
          <w:rStyle w:val="Fotnotsreferens"/>
          <w:rFonts w:ascii="Times New Roman" w:hAnsi="Times New Roman"/>
          <w:snapToGrid/>
          <w:spacing w:val="-3"/>
        </w:rPr>
        <w:footnoteReference w:id="51"/>
      </w:r>
      <w:r>
        <w:rPr>
          <w:rFonts w:ascii="Times New Roman" w:hAnsi="Times New Roman"/>
          <w:spacing w:val="-3"/>
        </w:rPr>
        <w:t xml:space="preserve"> En textilarbeterska minns reaktionerna på sina läsvanor. När hon började skolan över</w:t>
      </w:r>
      <w:r>
        <w:rPr>
          <w:rFonts w:ascii="Times New Roman" w:hAnsi="Times New Roman"/>
          <w:spacing w:val="-3"/>
        </w:rPr>
        <w:t>raskade hon sin lärarinna med att kunna läsa och skriva. ”</w:t>
      </w:r>
      <w:r>
        <w:rPr>
          <w:rFonts w:ascii="Times New Roman" w:hAnsi="Times New Roman"/>
          <w:i/>
          <w:iCs/>
          <w:spacing w:val="-3"/>
        </w:rPr>
        <w:t>’Vad läser du då’, sa hon. ’Ja, jag läser ju nu en rövarroman’. ’Å käre barn’, sa hon, ’Var får du den ifrån’. ’Utav mamma.’ Mamma köpte häften av gårdfarihand</w:t>
      </w:r>
      <w:r>
        <w:rPr>
          <w:rFonts w:ascii="Times New Roman" w:hAnsi="Times New Roman"/>
          <w:i/>
          <w:iCs/>
          <w:spacing w:val="-3"/>
        </w:rPr>
        <w:softHyphen/>
        <w:t>lare. Fröken såg alldeles chockad ut o</w:t>
      </w:r>
      <w:r>
        <w:rPr>
          <w:rFonts w:ascii="Times New Roman" w:hAnsi="Times New Roman"/>
          <w:i/>
          <w:iCs/>
          <w:spacing w:val="-3"/>
        </w:rPr>
        <w:t>ch tänkte nog arma barn, vilken familj, vilket hem hon har</w:t>
      </w:r>
      <w:r>
        <w:rPr>
          <w:rFonts w:ascii="Times New Roman" w:hAnsi="Times New Roman"/>
          <w:spacing w:val="-3"/>
        </w:rPr>
        <w:t>.”</w:t>
      </w:r>
      <w:r>
        <w:rPr>
          <w:rStyle w:val="Fotnotsreferens"/>
          <w:rFonts w:ascii="Times New Roman" w:hAnsi="Times New Roman"/>
          <w:spacing w:val="-3"/>
        </w:rPr>
        <w:footnoteReference w:id="52"/>
      </w:r>
      <w:r>
        <w:rPr>
          <w:rFonts w:ascii="Times New Roman" w:hAnsi="Times New Roman"/>
          <w:spacing w:val="-3"/>
        </w:rPr>
        <w:t xml:space="preserve"> Citatet inrymmer informantens uppfattning om den fina kulturens avståndstagande från det kommersiella nöjesutbudet. Så tydligt markeras sällan motsättningarna mellan massmarknadskulturen och den</w:t>
      </w:r>
      <w:r>
        <w:rPr>
          <w:rFonts w:ascii="Times New Roman" w:hAnsi="Times New Roman"/>
          <w:spacing w:val="-3"/>
        </w:rPr>
        <w:t xml:space="preserve"> fina kulturen – mellan behovet av spänning, förströelse och omväxling kontra den ”goda kulturens” hegemoniska anspråk.</w:t>
      </w:r>
      <w:r>
        <w:rPr>
          <w:rStyle w:val="Fotnotsreferens"/>
          <w:rFonts w:ascii="Times New Roman" w:hAnsi="Times New Roman"/>
          <w:spacing w:val="-3"/>
        </w:rPr>
        <w:footnoteReference w:id="53"/>
      </w:r>
      <w:r>
        <w:rPr>
          <w:rFonts w:ascii="Times New Roman" w:hAnsi="Times New Roman"/>
          <w:spacing w:val="-3"/>
        </w:rPr>
        <w:t xml:space="preserve"> </w:t>
      </w:r>
    </w:p>
    <w:p w14:paraId="6F2218D3" w14:textId="77777777" w:rsidR="00000000" w:rsidRDefault="00BC3002">
      <w:pPr>
        <w:widowControl/>
        <w:suppressAutoHyphens/>
        <w:spacing w:line="360" w:lineRule="auto"/>
        <w:jc w:val="both"/>
        <w:rPr>
          <w:rFonts w:ascii="Times New Roman" w:hAnsi="Times New Roman"/>
          <w:spacing w:val="-3"/>
        </w:rPr>
      </w:pPr>
      <w:r>
        <w:t xml:space="preserve">   </w:t>
      </w:r>
      <w:r>
        <w:rPr>
          <w:rFonts w:ascii="Times New Roman" w:hAnsi="Times New Roman"/>
        </w:rPr>
        <w:t>Läsandet skedde till största delen i hemmen. På landsbygden var dansbanorna de offentliga nöjesarenorna, där unga män och kvinnor f</w:t>
      </w:r>
      <w:r>
        <w:rPr>
          <w:rFonts w:ascii="Times New Roman" w:hAnsi="Times New Roman"/>
        </w:rPr>
        <w:t>rån olika klasser träffade varandra. I städerna var nöjesutbudet större och mer segregerat – både socialt, köns- och åldersmässigt. Här fanns dans- och musikställen, biografer, kaféer och restauranger.</w:t>
      </w:r>
      <w:r>
        <w:rPr>
          <w:rFonts w:ascii="Times New Roman" w:hAnsi="Times New Roman"/>
          <w:spacing w:val="-3"/>
        </w:rPr>
        <w:t xml:space="preserve"> Den sociala segregationen återspeglades bland annat i </w:t>
      </w:r>
      <w:r>
        <w:rPr>
          <w:rFonts w:ascii="Times New Roman" w:hAnsi="Times New Roman"/>
          <w:spacing w:val="-3"/>
        </w:rPr>
        <w:t xml:space="preserve">klädkoderna och vilken </w:t>
      </w:r>
      <w:proofErr w:type="gramStart"/>
      <w:r>
        <w:rPr>
          <w:rFonts w:ascii="Times New Roman" w:hAnsi="Times New Roman"/>
          <w:spacing w:val="-3"/>
        </w:rPr>
        <w:t>publik respektive nöjesetablissemang</w:t>
      </w:r>
      <w:proofErr w:type="gramEnd"/>
      <w:r>
        <w:rPr>
          <w:rFonts w:ascii="Times New Roman" w:hAnsi="Times New Roman"/>
          <w:spacing w:val="-3"/>
        </w:rPr>
        <w:t xml:space="preserve"> riktade sig till. För föreningslivet, som nykterhetslogerna och Folkets Park, var det under mellankrigstiden och den tidiga efterkrigstiden viktigt att ordna alternativ till de kommersiella nöjese</w:t>
      </w:r>
      <w:r>
        <w:rPr>
          <w:rFonts w:ascii="Times New Roman" w:hAnsi="Times New Roman"/>
          <w:spacing w:val="-3"/>
        </w:rPr>
        <w:t>tablissemangen. Sommartid var till exempel Folkets Park en populär plats där man kunde lyssna på musik och dansa.</w:t>
      </w:r>
      <w:r>
        <w:rPr>
          <w:rStyle w:val="Fotnotsreferens"/>
          <w:rFonts w:ascii="Times New Roman" w:hAnsi="Times New Roman"/>
          <w:spacing w:val="-3"/>
        </w:rPr>
        <w:footnoteReference w:id="54"/>
      </w:r>
    </w:p>
    <w:p w14:paraId="0A1F38E3" w14:textId="77777777" w:rsidR="00000000" w:rsidRDefault="00BC3002">
      <w:pPr>
        <w:widowControl/>
        <w:suppressAutoHyphens/>
        <w:spacing w:line="360" w:lineRule="auto"/>
        <w:jc w:val="both"/>
        <w:rPr>
          <w:rFonts w:ascii="Times New Roman" w:hAnsi="Times New Roman"/>
          <w:spacing w:val="-3"/>
        </w:rPr>
      </w:pPr>
      <w:r>
        <w:t xml:space="preserve">   </w:t>
      </w:r>
      <w:r>
        <w:rPr>
          <w:rFonts w:ascii="Times New Roman" w:hAnsi="Times New Roman"/>
        </w:rPr>
        <w:t>Från och med 1930-talet dominerade den amerikanska jazzmusiken den populära smaken. Den spreds på skiva och spelades i viss mån i radio. M</w:t>
      </w:r>
      <w:r>
        <w:rPr>
          <w:rFonts w:ascii="Times New Roman" w:hAnsi="Times New Roman"/>
        </w:rPr>
        <w:t xml:space="preserve">usikförlagen sålde noter till lokala orkestrar, som spelade till dans. Jazzen fick i sin tur konkurrens av svensk och utländsk schlagermusik. </w:t>
      </w:r>
      <w:r>
        <w:rPr>
          <w:rFonts w:ascii="Times New Roman" w:hAnsi="Times New Roman"/>
          <w:spacing w:val="-3"/>
        </w:rPr>
        <w:t>Under 1950-talet ersattes jazzen av rock’n’roll och under 1960-talet pop. Under 1970-talet dominerade olika rockge</w:t>
      </w:r>
      <w:r>
        <w:rPr>
          <w:rFonts w:ascii="Times New Roman" w:hAnsi="Times New Roman"/>
          <w:spacing w:val="-3"/>
        </w:rPr>
        <w:t xml:space="preserve">nrer, disco, pop, progg och punk. På danspalatsen dansade man tidens modedanser som charleston, </w:t>
      </w:r>
      <w:proofErr w:type="spellStart"/>
      <w:r>
        <w:rPr>
          <w:rFonts w:ascii="Times New Roman" w:hAnsi="Times New Roman"/>
          <w:spacing w:val="-3"/>
        </w:rPr>
        <w:t>slow</w:t>
      </w:r>
      <w:proofErr w:type="spellEnd"/>
      <w:r>
        <w:rPr>
          <w:rFonts w:ascii="Times New Roman" w:hAnsi="Times New Roman"/>
          <w:spacing w:val="-3"/>
        </w:rPr>
        <w:t xml:space="preserve"> </w:t>
      </w:r>
      <w:proofErr w:type="spellStart"/>
      <w:r>
        <w:rPr>
          <w:rFonts w:ascii="Times New Roman" w:hAnsi="Times New Roman"/>
          <w:spacing w:val="-3"/>
        </w:rPr>
        <w:t>fox</w:t>
      </w:r>
      <w:proofErr w:type="spellEnd"/>
      <w:r>
        <w:rPr>
          <w:rFonts w:ascii="Times New Roman" w:hAnsi="Times New Roman"/>
          <w:spacing w:val="-3"/>
        </w:rPr>
        <w:t xml:space="preserve"> och foxtrot. Sedan kom bugg, twist, shake och så vidare. Under 1970-talet konkurrerades livemusiken delvis ut av diskoteken.</w:t>
      </w:r>
      <w:r>
        <w:rPr>
          <w:rStyle w:val="Fotnotsreferens"/>
          <w:rFonts w:ascii="Times New Roman" w:hAnsi="Times New Roman"/>
          <w:snapToGrid/>
          <w:spacing w:val="-3"/>
          <w:szCs w:val="24"/>
        </w:rPr>
        <w:footnoteReference w:id="55"/>
      </w:r>
    </w:p>
    <w:p w14:paraId="6AD61509"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Dansen var en viktig a</w:t>
      </w:r>
      <w:r>
        <w:rPr>
          <w:rFonts w:ascii="Times New Roman" w:hAnsi="Times New Roman"/>
          <w:spacing w:val="-3"/>
        </w:rPr>
        <w:t>rena för tidens mode. När levnadsstandarden steg under mellankrigstiden blev det även för arbetarklassen möjligt att i viss mån följa modet. Tjejerna hade shinglat hår och knäkorta kjolar. Under andra världskriget och den tidiga efterkrigstiden utvecklades</w:t>
      </w:r>
      <w:r>
        <w:rPr>
          <w:rFonts w:ascii="Times New Roman" w:hAnsi="Times New Roman"/>
          <w:spacing w:val="-3"/>
        </w:rPr>
        <w:t xml:space="preserve"> särskilda ungdomsstilar. En textilarbetare berättar om krigsåren: </w:t>
      </w:r>
    </w:p>
    <w:p w14:paraId="31F1D96E"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w:t>
      </w:r>
      <w:r>
        <w:rPr>
          <w:rFonts w:ascii="Times New Roman" w:hAnsi="Times New Roman"/>
          <w:i/>
          <w:iCs/>
          <w:spacing w:val="-3"/>
        </w:rPr>
        <w:t>Som ungdom ville man vara lite upprorisk, vara lite annorlunda klädd och uppträda lite provocerande. Vi hade långa byxor, lite fladdriga med breda slag. Det väckte uppseende bland de ä</w:t>
      </w:r>
      <w:r>
        <w:rPr>
          <w:rFonts w:ascii="Times New Roman" w:hAnsi="Times New Roman"/>
          <w:i/>
          <w:iCs/>
          <w:spacing w:val="-3"/>
        </w:rPr>
        <w:t xml:space="preserve">ldre. När jag blev lite äldre, på 40-talet, kom jitterbuggen och </w:t>
      </w:r>
      <w:proofErr w:type="spellStart"/>
      <w:r>
        <w:rPr>
          <w:rFonts w:ascii="Times New Roman" w:hAnsi="Times New Roman"/>
          <w:i/>
          <w:iCs/>
          <w:spacing w:val="-3"/>
        </w:rPr>
        <w:t>nalensnajdarna</w:t>
      </w:r>
      <w:proofErr w:type="spellEnd"/>
      <w:r>
        <w:rPr>
          <w:rFonts w:ascii="Times New Roman" w:hAnsi="Times New Roman"/>
          <w:i/>
          <w:iCs/>
          <w:spacing w:val="-3"/>
        </w:rPr>
        <w:t xml:space="preserve"> med breda brätten och swingpjattarna. Vi försökte också efterlikna dom. Fast då var jag lite äldre och engagerade mig in</w:t>
      </w:r>
      <w:r>
        <w:rPr>
          <w:rFonts w:ascii="Times New Roman" w:hAnsi="Times New Roman"/>
          <w:i/>
          <w:iCs/>
          <w:spacing w:val="-3"/>
        </w:rPr>
        <w:softHyphen/>
        <w:t>te så mycket. Men dom som var yngre blev pjattar och kl</w:t>
      </w:r>
      <w:r>
        <w:rPr>
          <w:rFonts w:ascii="Times New Roman" w:hAnsi="Times New Roman"/>
          <w:i/>
          <w:iCs/>
          <w:spacing w:val="-3"/>
        </w:rPr>
        <w:t>ädde sig våldsamt avvikande. Dom åkte på smörj för sin klädsel. Folk blev förbannade. Swingpjattarna var flest och mest extrema. Vi andra var inte så extremt klädda</w:t>
      </w:r>
      <w:r>
        <w:rPr>
          <w:rFonts w:ascii="Times New Roman" w:hAnsi="Times New Roman"/>
          <w:spacing w:val="-3"/>
        </w:rPr>
        <w:t>.”</w:t>
      </w:r>
      <w:r>
        <w:rPr>
          <w:rStyle w:val="Fotnotsreferens"/>
          <w:rFonts w:ascii="Times New Roman" w:hAnsi="Times New Roman"/>
          <w:spacing w:val="-3"/>
        </w:rPr>
        <w:footnoteReference w:id="56"/>
      </w:r>
    </w:p>
    <w:p w14:paraId="262F1ED0"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Det nya modet och den nya ungdomskulturen kom från USA. Svenska ungdomar kunde på jou</w:t>
      </w:r>
      <w:r>
        <w:rPr>
          <w:rFonts w:ascii="Times New Roman" w:hAnsi="Times New Roman"/>
          <w:spacing w:val="-3"/>
        </w:rPr>
        <w:t xml:space="preserve">rnalfilmerna se hur amerikanska soldater rökte när de marscherade. </w:t>
      </w:r>
    </w:p>
    <w:p w14:paraId="78BDE0D5"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w:t>
      </w:r>
      <w:r>
        <w:rPr>
          <w:rFonts w:ascii="Times New Roman" w:hAnsi="Times New Roman"/>
          <w:i/>
          <w:iCs/>
          <w:spacing w:val="-3"/>
        </w:rPr>
        <w:t>Det ameri</w:t>
      </w:r>
      <w:r>
        <w:rPr>
          <w:rFonts w:ascii="Times New Roman" w:hAnsi="Times New Roman"/>
          <w:i/>
          <w:iCs/>
          <w:spacing w:val="-3"/>
        </w:rPr>
        <w:softHyphen/>
        <w:t>kans</w:t>
      </w:r>
      <w:r>
        <w:rPr>
          <w:rFonts w:ascii="Times New Roman" w:hAnsi="Times New Roman"/>
          <w:i/>
          <w:iCs/>
          <w:spacing w:val="-3"/>
        </w:rPr>
        <w:softHyphen/>
        <w:t>ka sättet började slå igenom hos oss också. … Dom levde ju friare, hade en annan typ av samhälle. Det var något vi började att tycka om. Swingen kom därifrån. Duke Ellin</w:t>
      </w:r>
      <w:r>
        <w:rPr>
          <w:rFonts w:ascii="Times New Roman" w:hAnsi="Times New Roman"/>
          <w:i/>
          <w:iCs/>
          <w:spacing w:val="-3"/>
        </w:rPr>
        <w:t>gton, Armstrong, Arthur Shaw och dom där. Under kriget kom skivorna. … I jukeboxen på café Savoy hade dom swingskivor från Amerika. Amerika det var landet man drömde om. Det var de stora möjligheternas land.</w:t>
      </w:r>
      <w:r>
        <w:rPr>
          <w:rFonts w:ascii="Times New Roman" w:hAnsi="Times New Roman"/>
          <w:spacing w:val="-3"/>
        </w:rPr>
        <w:t>”</w:t>
      </w:r>
      <w:r>
        <w:rPr>
          <w:rStyle w:val="Fotnotsreferens"/>
          <w:rFonts w:ascii="Times New Roman" w:hAnsi="Times New Roman"/>
          <w:spacing w:val="-3"/>
        </w:rPr>
        <w:footnoteReference w:id="57"/>
      </w:r>
    </w:p>
    <w:p w14:paraId="27675254"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napToGrid/>
          <w:spacing w:val="-3"/>
          <w:szCs w:val="24"/>
        </w:rPr>
        <w:t xml:space="preserve">   Under mellankrigstiden blev filmen ett domi</w:t>
      </w:r>
      <w:r>
        <w:rPr>
          <w:rFonts w:ascii="Times New Roman" w:hAnsi="Times New Roman"/>
          <w:snapToGrid/>
          <w:spacing w:val="-3"/>
          <w:szCs w:val="24"/>
        </w:rPr>
        <w:t>nerande folkligt nöje. Hollywoodfilmen dominerade utbudet med äventyrsfilm, dramer, farser och komedier och kärleksfilm, som gjorde det möjligt att skapa en delvis könsbunden filmkonsumtion.</w:t>
      </w:r>
      <w:r>
        <w:rPr>
          <w:rFonts w:ascii="Times New Roman" w:hAnsi="Times New Roman"/>
          <w:spacing w:val="-3"/>
        </w:rPr>
        <w:t xml:space="preserve"> Männen såg ofta äventyrsfilmer, medan kvinnor ofta föredrog roman</w:t>
      </w:r>
      <w:r>
        <w:rPr>
          <w:rFonts w:ascii="Times New Roman" w:hAnsi="Times New Roman"/>
          <w:spacing w:val="-3"/>
        </w:rPr>
        <w:t>tiska filmer.</w:t>
      </w:r>
      <w:r>
        <w:rPr>
          <w:rStyle w:val="Fotnotsreferens"/>
          <w:rFonts w:ascii="Times New Roman" w:hAnsi="Times New Roman"/>
          <w:spacing w:val="-3"/>
        </w:rPr>
        <w:footnoteReference w:id="58"/>
      </w:r>
      <w:r>
        <w:rPr>
          <w:rFonts w:ascii="Times New Roman" w:hAnsi="Times New Roman"/>
          <w:spacing w:val="-3"/>
        </w:rPr>
        <w:t xml:space="preserve"> Filmens roll var störst före det sena 1950-talet, då TV slog igenom.</w:t>
      </w:r>
    </w:p>
    <w:p w14:paraId="41CE193D"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Även de mer lokalt präglade nöjesattraktionerna förmedlade den internationella populärkulturen. </w:t>
      </w:r>
      <w:r>
        <w:rPr>
          <w:rFonts w:ascii="Times New Roman" w:hAnsi="Times New Roman"/>
          <w:snapToGrid/>
          <w:szCs w:val="24"/>
        </w:rPr>
        <w:t>Cirkus var en viktig folklig nöjesattraktion. I Norrköping fanns sedan de</w:t>
      </w:r>
      <w:r>
        <w:rPr>
          <w:rFonts w:ascii="Times New Roman" w:hAnsi="Times New Roman"/>
          <w:snapToGrid/>
          <w:szCs w:val="24"/>
        </w:rPr>
        <w:t>t tidiga 1900-talet en fast cirkusbyggnad.</w:t>
      </w:r>
      <w:r>
        <w:rPr>
          <w:rFonts w:ascii="Times New Roman" w:hAnsi="Times New Roman"/>
        </w:rPr>
        <w:t xml:space="preserve"> Här kombinerades förevisningar av exotiska företeelser som ”</w:t>
      </w:r>
      <w:r>
        <w:rPr>
          <w:rFonts w:ascii="Times New Roman" w:hAnsi="Times New Roman"/>
          <w:i/>
          <w:iCs/>
        </w:rPr>
        <w:t>en alldeles levande neger</w:t>
      </w:r>
      <w:r>
        <w:rPr>
          <w:rFonts w:ascii="Times New Roman" w:hAnsi="Times New Roman"/>
        </w:rPr>
        <w:t>”, med starka män, djur och akrobatik. Särskilt de främmande djuren attraherade publiken.</w:t>
      </w:r>
      <w:r>
        <w:rPr>
          <w:rFonts w:ascii="Times New Roman" w:hAnsi="Times New Roman"/>
          <w:spacing w:val="-3"/>
        </w:rPr>
        <w:t xml:space="preserve"> Även på marknaderna förekom liknande k</w:t>
      </w:r>
      <w:r>
        <w:rPr>
          <w:rFonts w:ascii="Times New Roman" w:hAnsi="Times New Roman"/>
          <w:spacing w:val="-3"/>
        </w:rPr>
        <w:t>ommersiella nöjesinslag.</w:t>
      </w:r>
      <w:r>
        <w:rPr>
          <w:rStyle w:val="Fotnotsreferens"/>
          <w:rFonts w:ascii="Times New Roman" w:hAnsi="Times New Roman"/>
          <w:spacing w:val="-3"/>
        </w:rPr>
        <w:footnoteReference w:id="59"/>
      </w:r>
      <w:r>
        <w:rPr>
          <w:rFonts w:ascii="Times New Roman" w:hAnsi="Times New Roman"/>
          <w:snapToGrid/>
          <w:spacing w:val="-3"/>
          <w:szCs w:val="24"/>
        </w:rPr>
        <w:t xml:space="preserve"> </w:t>
      </w:r>
    </w:p>
    <w:p w14:paraId="1AAAFFE5" w14:textId="77777777" w:rsidR="00000000" w:rsidRDefault="00BC3002">
      <w:pPr>
        <w:pStyle w:val="Brdtext"/>
        <w:widowControl/>
        <w:rPr>
          <w:lang w:val="sv-SE"/>
        </w:rPr>
      </w:pPr>
      <w:r>
        <w:rPr>
          <w:lang w:val="sv-SE"/>
        </w:rPr>
        <w:t xml:space="preserve">   Kafékulturen ersatte under mellankrigstiden krogkulturen som manligt nöje. Bland annat hade de olika idrottsklubbarna sina klubbkaféer, där spelare och medlemmar samlades. De fikade, spelade spel, lyssnade på musik och pratade</w:t>
      </w:r>
      <w:r>
        <w:rPr>
          <w:lang w:val="sv-SE"/>
        </w:rPr>
        <w:t>. En textilarbetare minns:</w:t>
      </w:r>
    </w:p>
    <w:p w14:paraId="2D27B9A7"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w:t>
      </w:r>
      <w:r>
        <w:rPr>
          <w:rFonts w:ascii="Times New Roman" w:hAnsi="Times New Roman"/>
          <w:i/>
          <w:iCs/>
          <w:spacing w:val="-3"/>
        </w:rPr>
        <w:t>Det var väldigt inne att gå på café. Där träffades vi om kvällarna. Vi fikade, spelade mycket Domino och en del spelade schack. På Savoy lyssnade vi på musik, snackade om fotboll och tjejer. Det fanns radiogrammofon och jukeb</w:t>
      </w:r>
      <w:r>
        <w:rPr>
          <w:rFonts w:ascii="Times New Roman" w:hAnsi="Times New Roman"/>
          <w:i/>
          <w:iCs/>
          <w:spacing w:val="-3"/>
        </w:rPr>
        <w:t>ox. Det var bara killar som träffades där. Ytterst sällan kom några tjejer in. Flickorna vet jag inte vad de pysslade med</w:t>
      </w:r>
      <w:r>
        <w:rPr>
          <w:rFonts w:ascii="Times New Roman" w:hAnsi="Times New Roman"/>
          <w:spacing w:val="-3"/>
        </w:rPr>
        <w:t>.”</w:t>
      </w:r>
      <w:r>
        <w:rPr>
          <w:rStyle w:val="Fotnotsreferens"/>
          <w:rFonts w:ascii="Times New Roman" w:hAnsi="Times New Roman"/>
          <w:spacing w:val="-3"/>
        </w:rPr>
        <w:footnoteReference w:id="60"/>
      </w:r>
    </w:p>
    <w:p w14:paraId="6809FDC1"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Medan de unga männen gick till kaféerna gick de unga kvinnorna när de hade råd på konditori. Även kafé- och konditoribesöken min</w:t>
      </w:r>
      <w:r>
        <w:rPr>
          <w:rFonts w:ascii="Times New Roman" w:hAnsi="Times New Roman"/>
          <w:spacing w:val="-3"/>
        </w:rPr>
        <w:t xml:space="preserve">skade när </w:t>
      </w:r>
      <w:proofErr w:type="spellStart"/>
      <w:r>
        <w:rPr>
          <w:rFonts w:ascii="Times New Roman" w:hAnsi="Times New Roman"/>
          <w:spacing w:val="-3"/>
        </w:rPr>
        <w:t>TVn</w:t>
      </w:r>
      <w:proofErr w:type="spellEnd"/>
      <w:r>
        <w:rPr>
          <w:rFonts w:ascii="Times New Roman" w:hAnsi="Times New Roman"/>
          <w:spacing w:val="-3"/>
        </w:rPr>
        <w:t xml:space="preserve"> slog igenom. I stället började en ny krogkultur för båda könen växa fram.</w:t>
      </w:r>
      <w:r>
        <w:rPr>
          <w:rStyle w:val="Fotnotsreferens"/>
          <w:rFonts w:ascii="Times New Roman" w:hAnsi="Times New Roman"/>
          <w:spacing w:val="-3"/>
        </w:rPr>
        <w:footnoteReference w:id="61"/>
      </w:r>
    </w:p>
    <w:p w14:paraId="6258B6E5"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Också fotboll, boxning och friidrott utvecklades till en kommersialiserad massmarknad under mellankrigstiden. Män dominerade både som utövare och publik. Publiken k</w:t>
      </w:r>
      <w:r>
        <w:rPr>
          <w:rFonts w:ascii="Times New Roman" w:hAnsi="Times New Roman"/>
          <w:spacing w:val="-3"/>
        </w:rPr>
        <w:t>unde uppgå till långt över 10 000 per idrottsevenemang. I Stockholm förknippades idrotten också med nöjesaktiviteter utanför idrottsarenan. Till exempel anknöt under mellankrigstiden filmen och den folkliga teatern återkommande till idrottsteman. I Norrköp</w:t>
      </w:r>
      <w:r>
        <w:rPr>
          <w:rFonts w:ascii="Times New Roman" w:hAnsi="Times New Roman"/>
          <w:spacing w:val="-3"/>
        </w:rPr>
        <w:t>ing var marknaden inte lika stor för denna typ av kommersiella aktiviteter.</w:t>
      </w:r>
      <w:r>
        <w:rPr>
          <w:rStyle w:val="Fotnotsreferens"/>
          <w:rFonts w:ascii="Times New Roman" w:hAnsi="Times New Roman"/>
          <w:spacing w:val="-3"/>
        </w:rPr>
        <w:footnoteReference w:id="62"/>
      </w:r>
    </w:p>
    <w:p w14:paraId="006D4A9C" w14:textId="77777777" w:rsidR="00000000" w:rsidRDefault="00BC3002">
      <w:pPr>
        <w:widowControl/>
        <w:suppressAutoHyphens/>
        <w:spacing w:line="360" w:lineRule="auto"/>
        <w:jc w:val="both"/>
        <w:rPr>
          <w:rFonts w:ascii="Times New Roman" w:hAnsi="Times New Roman"/>
          <w:spacing w:val="-3"/>
          <w:sz w:val="28"/>
        </w:rPr>
      </w:pPr>
      <w:r>
        <w:rPr>
          <w:rFonts w:ascii="Times New Roman" w:hAnsi="Times New Roman"/>
          <w:snapToGrid/>
          <w:spacing w:val="-3"/>
          <w:szCs w:val="24"/>
        </w:rPr>
        <w:t xml:space="preserve">   Under den tidiga efterkrigstiden blev det möjligt att konsumera alltmer utmejslade ungdomsstilar och i konsumtionen skapa en identitet, som avgränsade sig från vuxenvärlden. I </w:t>
      </w:r>
      <w:r>
        <w:rPr>
          <w:rFonts w:ascii="Times New Roman" w:hAnsi="Times New Roman"/>
          <w:snapToGrid/>
          <w:spacing w:val="-3"/>
          <w:szCs w:val="24"/>
        </w:rPr>
        <w:t>detta identitetsskapande spelade inte bara musiken, modet och dansen en central roll utan också filmen och annan nöjeskonsumtion.</w:t>
      </w:r>
      <w:r>
        <w:rPr>
          <w:rFonts w:ascii="Times New Roman" w:hAnsi="Times New Roman"/>
          <w:snapToGrid/>
          <w:spacing w:val="-3"/>
          <w:sz w:val="28"/>
          <w:szCs w:val="24"/>
        </w:rPr>
        <w:t xml:space="preserve"> </w:t>
      </w:r>
      <w:r>
        <w:rPr>
          <w:rFonts w:ascii="Times New Roman" w:hAnsi="Times New Roman"/>
          <w:snapToGrid/>
          <w:spacing w:val="-3"/>
          <w:szCs w:val="24"/>
        </w:rPr>
        <w:t>Den populära kulturen bidrog länge till en beundrande identifiering med USA. Under 1960-talet förändrades och fördjupades bild</w:t>
      </w:r>
      <w:r>
        <w:rPr>
          <w:rFonts w:ascii="Times New Roman" w:hAnsi="Times New Roman"/>
          <w:snapToGrid/>
          <w:spacing w:val="-3"/>
          <w:szCs w:val="24"/>
        </w:rPr>
        <w:t>erna av ”möjligheternas land” av bland annat Vietnamkriget. Även fortsättningsvis kom många impulser från USA, men nu fanns kulturella filter som bidrog till att den amerikanska populärkulturen inte längre togs emot lika oreserverat.</w:t>
      </w:r>
      <w:r>
        <w:rPr>
          <w:rFonts w:ascii="Times New Roman" w:hAnsi="Times New Roman"/>
          <w:spacing w:val="-3"/>
        </w:rPr>
        <w:t xml:space="preserve"> Nöjesutbudet riktade s</w:t>
      </w:r>
      <w:r>
        <w:rPr>
          <w:rFonts w:ascii="Times New Roman" w:hAnsi="Times New Roman"/>
          <w:spacing w:val="-3"/>
        </w:rPr>
        <w:t>ig i första hand till ungdomar. Denna tendens förstärktes under den tidiga efterkrigstiden.</w:t>
      </w:r>
      <w:r>
        <w:rPr>
          <w:rFonts w:ascii="Times New Roman" w:hAnsi="Times New Roman"/>
          <w:spacing w:val="-3"/>
          <w:sz w:val="28"/>
        </w:rPr>
        <w:t xml:space="preserve"> </w:t>
      </w:r>
    </w:p>
    <w:p w14:paraId="7BD3E6DC"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Med hjälp av nöjesutbudet och konsumtionen gick det att utforma avgränsade ungdomsstilar. Andra världskrigets och de första efterkrigsårens swingpjattar följdes</w:t>
      </w:r>
      <w:r>
        <w:rPr>
          <w:rFonts w:ascii="Times New Roman" w:hAnsi="Times New Roman"/>
          <w:spacing w:val="-3"/>
        </w:rPr>
        <w:t xml:space="preserve"> under den andra hälften av 1950-talet av raggare och knuttar. Rebelliskt tog de plats i det offentliga rummet med amerikanska bilar och motorcyklar. Stilen och värderingarna hämtade de från USA. 1960-talets mods och 1970-talets proggare och punkare är sen</w:t>
      </w:r>
      <w:r>
        <w:rPr>
          <w:rFonts w:ascii="Times New Roman" w:hAnsi="Times New Roman"/>
          <w:spacing w:val="-3"/>
        </w:rPr>
        <w:t>are exempel på allt mer avgränsade ungdomsstilar. Under 1970-talet attraherade diskoteken med en mer mainstreampräglad kultur.</w:t>
      </w:r>
      <w:r>
        <w:rPr>
          <w:rStyle w:val="Fotnotsreferens"/>
          <w:rFonts w:ascii="Times New Roman" w:hAnsi="Times New Roman"/>
          <w:spacing w:val="-3"/>
        </w:rPr>
        <w:footnoteReference w:id="63"/>
      </w:r>
    </w:p>
    <w:p w14:paraId="0B4C7BDD" w14:textId="77777777" w:rsidR="00000000" w:rsidRDefault="00BC3002">
      <w:pPr>
        <w:widowControl/>
        <w:suppressAutoHyphens/>
        <w:spacing w:line="360" w:lineRule="auto"/>
        <w:jc w:val="both"/>
        <w:rPr>
          <w:rFonts w:ascii="Times New Roman" w:hAnsi="Times New Roman"/>
          <w:spacing w:val="-3"/>
        </w:rPr>
      </w:pPr>
    </w:p>
    <w:p w14:paraId="1038888F" w14:textId="77777777" w:rsidR="00000000" w:rsidRDefault="00BC3002">
      <w:pPr>
        <w:pStyle w:val="Rubrik3"/>
        <w:widowControl/>
        <w:rPr>
          <w:bCs/>
        </w:rPr>
      </w:pPr>
      <w:r>
        <w:rPr>
          <w:bCs/>
        </w:rPr>
        <w:t>Varför tog arbetarkulturen emot kommersialismen?</w:t>
      </w:r>
    </w:p>
    <w:p w14:paraId="63DB7D0F"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Både studien av reaktionerna mot konsumtionen av massmarknadens kulturutbud oc</w:t>
      </w:r>
      <w:r>
        <w:rPr>
          <w:rFonts w:ascii="Times New Roman" w:hAnsi="Times New Roman"/>
          <w:spacing w:val="-3"/>
        </w:rPr>
        <w:t xml:space="preserve">h studien av arbetarklassens </w:t>
      </w:r>
      <w:proofErr w:type="gramStart"/>
      <w:r>
        <w:rPr>
          <w:rFonts w:ascii="Times New Roman" w:hAnsi="Times New Roman"/>
          <w:spacing w:val="-3"/>
        </w:rPr>
        <w:t>egna</w:t>
      </w:r>
      <w:proofErr w:type="gramEnd"/>
      <w:r>
        <w:rPr>
          <w:rFonts w:ascii="Times New Roman" w:hAnsi="Times New Roman"/>
          <w:spacing w:val="-3"/>
        </w:rPr>
        <w:t xml:space="preserve"> kulturella konsumtion visar tydligt att detta kulturutbud spelade stor roll i och för arbetarkulturen. Hur ska detta förstås? Sociologen Mats Franzén menar att industrialiseringen disciplinerade den folkliga kulturen, samt</w:t>
      </w:r>
      <w:r>
        <w:rPr>
          <w:rFonts w:ascii="Times New Roman" w:hAnsi="Times New Roman"/>
          <w:spacing w:val="-3"/>
        </w:rPr>
        <w:t>idigt som arbetarklassen påverkades av den nya populära kulturen. Han betonar också den kommersiella nöjesindustrins roll. Denna växte betydligt från och med slutet av 1800-talet och i början av 1900-talet. Som en följd av denna förändring började nöjeskon</w:t>
      </w:r>
      <w:r>
        <w:rPr>
          <w:rFonts w:ascii="Times New Roman" w:hAnsi="Times New Roman"/>
          <w:spacing w:val="-3"/>
        </w:rPr>
        <w:t>sumtionen bli mer tvåkönad än tidigare.</w:t>
      </w:r>
      <w:r>
        <w:rPr>
          <w:rStyle w:val="Fotnotsreferens"/>
          <w:rFonts w:ascii="Times New Roman" w:hAnsi="Times New Roman"/>
          <w:spacing w:val="-3"/>
        </w:rPr>
        <w:footnoteReference w:id="64"/>
      </w:r>
      <w:r>
        <w:rPr>
          <w:rFonts w:ascii="Times New Roman" w:hAnsi="Times New Roman"/>
          <w:spacing w:val="-3"/>
        </w:rPr>
        <w:t xml:space="preserve"> Något som talar för disciplineringstesen är att den manliga krog- och alkoholkulturen uppenbarligen disciplinerades på grund av myndigheternas kontroll. Men, detta är långt ifrån tillräckligt för att besvara frågan.</w:t>
      </w:r>
      <w:r>
        <w:rPr>
          <w:rFonts w:ascii="Times New Roman" w:hAnsi="Times New Roman"/>
          <w:spacing w:val="-3"/>
        </w:rPr>
        <w:t xml:space="preserve"> Det hade ju varit möjligt för arbetarklassen att antingen anamma den borgerliga kulturen eller att ta avstånd från den kommersiella massmarknaden utifrån skötsamhetsprojektets premisser. Givetvis spelade också tillgängligheten stor roll för konsumtionsmöj</w:t>
      </w:r>
      <w:r>
        <w:rPr>
          <w:rFonts w:ascii="Times New Roman" w:hAnsi="Times New Roman"/>
          <w:spacing w:val="-3"/>
        </w:rPr>
        <w:t>ligheterna, men detta besvarar inte heller frågan.</w:t>
      </w:r>
    </w:p>
    <w:p w14:paraId="7659A19B"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Här ska jag i stället lyfta fram två andra förklaringsansatser, som rör vilka strategier man använde, för att nå målet. Därefter diskuterar jag målet. Den första ansatsen är att se arbetarklassens kultu</w:t>
      </w:r>
      <w:r>
        <w:rPr>
          <w:rFonts w:ascii="Times New Roman" w:hAnsi="Times New Roman"/>
          <w:spacing w:val="-3"/>
        </w:rPr>
        <w:t>rkonsumtion som ett identitetsspel, där arbetarkulturen formades. Med hjälp av konsumtionen var det möjligt att hålla den borgerliga kulturen och dess hegemoniska anspråk stången. De hegemoniska strävandena syftade efter att ”förborgerliga” arbetarkulturen</w:t>
      </w:r>
      <w:r>
        <w:rPr>
          <w:rFonts w:ascii="Times New Roman" w:hAnsi="Times New Roman"/>
          <w:spacing w:val="-3"/>
        </w:rPr>
        <w:t xml:space="preserve">. I stället för att konsumera den ”goda” borgerliga kulturen valde man de ”vulgära” och ”dåliga” kommersiella nöjena. På motsvarande sätt bekämpade arbetarkollektiven på Norrköpings industriarbetsplatser företagsledningarnas kontrollförsök. </w:t>
      </w:r>
    </w:p>
    <w:p w14:paraId="6799AC7F" w14:textId="77777777" w:rsidR="00000000" w:rsidRDefault="00BC3002">
      <w:pPr>
        <w:widowControl/>
        <w:suppressAutoHyphens/>
        <w:spacing w:line="360" w:lineRule="auto"/>
        <w:jc w:val="both"/>
        <w:rPr>
          <w:rFonts w:ascii="Times New Roman" w:hAnsi="Times New Roman"/>
          <w:spacing w:val="-3"/>
        </w:rPr>
      </w:pPr>
      <w:r>
        <w:rPr>
          <w:rFonts w:ascii="Times New Roman" w:hAnsi="Times New Roman"/>
          <w:spacing w:val="-3"/>
        </w:rPr>
        <w:t xml:space="preserve">   Identitetss</w:t>
      </w:r>
      <w:r>
        <w:rPr>
          <w:rFonts w:ascii="Times New Roman" w:hAnsi="Times New Roman"/>
          <w:spacing w:val="-3"/>
        </w:rPr>
        <w:t>pelet byggde på en egensinnig strategi, som handlade om att skapa en kulturell frizon, som gjorde det möjligt att utöva sin kultur under egna villkor och forma en självständig identitet. Därför vände man sig både mot borgerlighetens och arbetarrörelsens le</w:t>
      </w:r>
      <w:r>
        <w:rPr>
          <w:rFonts w:ascii="Times New Roman" w:hAnsi="Times New Roman"/>
          <w:spacing w:val="-3"/>
        </w:rPr>
        <w:t>dande upprätthållares olika typer av kontroll och disciplineringsförsök. Från och med mellankrigstiden fram till 1960-talet spelade skötsamhetsprojektet mycket stor roll inom både arbetarrörelsen och arbetarkulturen. 1960- och 1970-talens ungdomskulturer b</w:t>
      </w:r>
      <w:r>
        <w:rPr>
          <w:rFonts w:ascii="Times New Roman" w:hAnsi="Times New Roman"/>
          <w:spacing w:val="-3"/>
        </w:rPr>
        <w:t>idrog till att försvaga skötsamhetsprojektet. Samtidigt spelade dess moraluppfattningar ut sin roll, när de äldre generationernas sexualmoral, auktoritetstro och gemenskapsideal började urholkas. Även under den tid då arbetarrörelsens skötsamhetsprojekt do</w:t>
      </w:r>
      <w:r>
        <w:rPr>
          <w:rFonts w:ascii="Times New Roman" w:hAnsi="Times New Roman"/>
          <w:spacing w:val="-3"/>
        </w:rPr>
        <w:t>minerade arbetarkulturen som allra mest bidrog dess fostrande och uppfostrande strävanden till en spänning mellan arbetarrörelsens ledande upprätthållare och medlemsmajoriteten. Även många arbetarrörelseaktivister var kluvna i sin inställning till massmark</w:t>
      </w:r>
      <w:r>
        <w:rPr>
          <w:rFonts w:ascii="Times New Roman" w:hAnsi="Times New Roman"/>
          <w:spacing w:val="-3"/>
        </w:rPr>
        <w:t xml:space="preserve">nadskulturens kulturutbud. Det kommer inte fram i den ovan redovisade delstudien av arbetarminnesmaterialet, men framgår tydligt av fackliga funktionärers minnen. </w:t>
      </w:r>
      <w:r>
        <w:rPr>
          <w:rFonts w:ascii="Times New Roman" w:hAnsi="Times New Roman"/>
          <w:snapToGrid/>
        </w:rPr>
        <w:t>Skötsamhetsprojektet betonade värden som rimligen uppfattades strida mot underhållningsbehove</w:t>
      </w:r>
      <w:r>
        <w:rPr>
          <w:rFonts w:ascii="Times New Roman" w:hAnsi="Times New Roman"/>
          <w:snapToGrid/>
        </w:rPr>
        <w:t>t och inte gick ihop med intresset av att ha roligt, ryckas med och leva ut sina känslor. För individen gällde det att kombinera skötsamheten med nöjeskonsumtionen.</w:t>
      </w:r>
      <w:r>
        <w:rPr>
          <w:rStyle w:val="Fotnotsreferens"/>
          <w:rFonts w:ascii="Times New Roman" w:hAnsi="Times New Roman"/>
          <w:spacing w:val="-3"/>
        </w:rPr>
        <w:footnoteReference w:id="65"/>
      </w:r>
    </w:p>
    <w:p w14:paraId="0D7B6147"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pacing w:val="-3"/>
        </w:rPr>
        <w:t xml:space="preserve">   Den andra förklaringsansatsen tar sin utgångspunkt i arbetarkulturens traditionalism. D</w:t>
      </w:r>
      <w:r>
        <w:rPr>
          <w:rFonts w:ascii="Times New Roman" w:hAnsi="Times New Roman"/>
          <w:spacing w:val="-3"/>
        </w:rPr>
        <w:t xml:space="preserve">enna medförde att arbetarbefolkningen </w:t>
      </w:r>
      <w:r>
        <w:rPr>
          <w:rFonts w:ascii="Times New Roman" w:hAnsi="Times New Roman"/>
          <w:snapToGrid/>
          <w:spacing w:val="-3"/>
        </w:rPr>
        <w:t>försvarade sin kultur och sina traditionella föreställningar om sådant som heder, genus- och klassrelationer och hur ekonomin borde se ut. I mötet med ”det nya” utgjorde traditionalismen det filter som man tolkade verk</w:t>
      </w:r>
      <w:r>
        <w:rPr>
          <w:rFonts w:ascii="Times New Roman" w:hAnsi="Times New Roman"/>
          <w:snapToGrid/>
          <w:spacing w:val="-3"/>
        </w:rPr>
        <w:t>ligheten utifrån, när massmarknadens nöjen konsumerades. 1800-talets manliga krog- och alkoholkultur var ett sätt att fly vardagen och för tillfället sätta guldkant på tillvaron. På samma sätt fungerade 1900-talets nöjeskonsumtion av film och litteratur, i</w:t>
      </w:r>
      <w:r>
        <w:rPr>
          <w:rFonts w:ascii="Times New Roman" w:hAnsi="Times New Roman"/>
          <w:snapToGrid/>
          <w:spacing w:val="-3"/>
        </w:rPr>
        <w:t xml:space="preserve">drott, dans och musik. Den gav glädje, spänning och känsloutlevelse för stunden. I umgänget på arbetet spelade skämtandet stor roll för att hålla makten på avstånd och för att kontrollera arbetet, men det var också ett sätt att skapa sammanhållning och en </w:t>
      </w:r>
      <w:r>
        <w:rPr>
          <w:rFonts w:ascii="Times New Roman" w:hAnsi="Times New Roman"/>
          <w:snapToGrid/>
          <w:spacing w:val="-3"/>
        </w:rPr>
        <w:t xml:space="preserve">trevlig stämning. Detta var också viktigt för nöjeskonsumtionen. </w:t>
      </w:r>
      <w:r>
        <w:rPr>
          <w:rFonts w:ascii="Times New Roman" w:hAnsi="Times New Roman"/>
          <w:snapToGrid/>
        </w:rPr>
        <w:t>Återanvändandet av dessa strategin medförde att man nalkades det nya genom att utgå från ett väletablerat sätt att handla på.</w:t>
      </w:r>
    </w:p>
    <w:p w14:paraId="514F8BCD" w14:textId="77777777" w:rsidR="00000000" w:rsidRDefault="00BC3002">
      <w:pPr>
        <w:widowControl/>
        <w:suppressAutoHyphens/>
        <w:spacing w:line="360" w:lineRule="auto"/>
        <w:jc w:val="both"/>
        <w:rPr>
          <w:rFonts w:ascii="Times New Roman" w:hAnsi="Times New Roman"/>
          <w:snapToGrid/>
        </w:rPr>
      </w:pPr>
      <w:r>
        <w:rPr>
          <w:rFonts w:ascii="Times New Roman" w:hAnsi="Times New Roman"/>
          <w:snapToGrid/>
          <w:spacing w:val="-3"/>
        </w:rPr>
        <w:t xml:space="preserve">   Konsumtionen av det kommersiella nöjesutbudet fungerade även s</w:t>
      </w:r>
      <w:r>
        <w:rPr>
          <w:rFonts w:ascii="Times New Roman" w:hAnsi="Times New Roman"/>
          <w:snapToGrid/>
          <w:spacing w:val="-3"/>
        </w:rPr>
        <w:t>om ett rebelliskt vapen mot de hegemoniska relationerna i samhället.</w:t>
      </w:r>
      <w:r>
        <w:rPr>
          <w:rFonts w:ascii="Times New Roman" w:hAnsi="Times New Roman"/>
          <w:snapToGrid/>
        </w:rPr>
        <w:t xml:space="preserve"> Med hjälp av mode och nöjesutbud gick det att skapa en rebellisk ungdomskultur, som avgränsade från den samhälleliga hegemonin. Även denna strategi byggde på traditionella förhållningssät</w:t>
      </w:r>
      <w:r>
        <w:rPr>
          <w:rFonts w:ascii="Times New Roman" w:hAnsi="Times New Roman"/>
          <w:snapToGrid/>
        </w:rPr>
        <w:t>t av motstånd mot den borgerliga kulturen. En kombination av traditionella strategier kan alltså ha gjort det möjligt att utifrån en traditionalistisk världsbild ta emot det nya samtidigt som man på olika sätt distanserade sig och förhandlade med hegemonin</w:t>
      </w:r>
      <w:r>
        <w:rPr>
          <w:rFonts w:ascii="Times New Roman" w:hAnsi="Times New Roman"/>
          <w:snapToGrid/>
        </w:rPr>
        <w:t>.</w:t>
      </w:r>
      <w:r>
        <w:rPr>
          <w:rStyle w:val="Fotnotsreferens"/>
          <w:rFonts w:ascii="Times New Roman" w:hAnsi="Times New Roman"/>
          <w:snapToGrid/>
          <w:spacing w:val="-3"/>
        </w:rPr>
        <w:footnoteReference w:id="66"/>
      </w:r>
    </w:p>
    <w:p w14:paraId="73B31B59"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rPr>
        <w:t xml:space="preserve">  </w:t>
      </w:r>
      <w:r>
        <w:rPr>
          <w:snapToGrid/>
        </w:rPr>
        <w:t xml:space="preserve"> </w:t>
      </w:r>
      <w:r>
        <w:rPr>
          <w:rFonts w:ascii="Times New Roman" w:hAnsi="Times New Roman"/>
          <w:snapToGrid/>
        </w:rPr>
        <w:t>Dessa förklaringar är framför allt användbara för att förstå arbetarkulturens relation till den ”fina” borgerliga kulturen, men de förklarar i viss utsträckning även relationen mellan arbetarklassens egensinniga nöjeskonsumtion och arbetarrörelsens s</w:t>
      </w:r>
      <w:r>
        <w:rPr>
          <w:rFonts w:ascii="Times New Roman" w:hAnsi="Times New Roman"/>
          <w:snapToGrid/>
        </w:rPr>
        <w:t xml:space="preserve">kötsamhetsprojekt. Också i detta fall kan det, som jag redan varit inne på, ha funnits ett behov av att distansera sig från disciplineringsförsök. </w:t>
      </w:r>
    </w:p>
    <w:p w14:paraId="392D2A68"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Traditionalismen som kulturell strategi var dock inte oföränderlig. Rimligen bör den på sikt ha försvagat</w:t>
      </w:r>
      <w:r>
        <w:rPr>
          <w:rFonts w:ascii="Times New Roman" w:hAnsi="Times New Roman"/>
          <w:snapToGrid/>
          <w:spacing w:val="-3"/>
        </w:rPr>
        <w:t>s av skötsamhetsprojektets och välfärdsbyggets moderniseringstänkande, som spelade stor roll när nya konsumtionsmöjligheter och framtidshorisonter öppnades.</w:t>
      </w:r>
      <w:r>
        <w:rPr>
          <w:rStyle w:val="Fotnotsreferens"/>
          <w:rFonts w:ascii="Times New Roman" w:hAnsi="Times New Roman"/>
          <w:snapToGrid/>
          <w:spacing w:val="-3"/>
        </w:rPr>
        <w:footnoteReference w:id="67"/>
      </w:r>
      <w:r>
        <w:rPr>
          <w:rFonts w:ascii="Times New Roman" w:hAnsi="Times New Roman"/>
          <w:snapToGrid/>
          <w:spacing w:val="-3"/>
        </w:rPr>
        <w:t xml:space="preserve"> Trots denna förändring tog man sannolikt under den period jag undersöker i stor utsträckning emot </w:t>
      </w:r>
      <w:r>
        <w:rPr>
          <w:rFonts w:ascii="Times New Roman" w:hAnsi="Times New Roman"/>
          <w:snapToGrid/>
          <w:spacing w:val="-3"/>
        </w:rPr>
        <w:t xml:space="preserve">det kommersiella nöjesutbudet på ett traditionalistiskt sätt, fastän denna nöjeskonsumtion inte gick i linje med de föreställningar som vägledde välfärdsbygget. </w:t>
      </w:r>
    </w:p>
    <w:p w14:paraId="14C0A20A"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spacing w:val="-3"/>
        </w:rPr>
        <w:t xml:space="preserve">   Hur ska då </w:t>
      </w:r>
      <w:proofErr w:type="gramStart"/>
      <w:r>
        <w:rPr>
          <w:rFonts w:ascii="Times New Roman" w:hAnsi="Times New Roman"/>
          <w:snapToGrid/>
          <w:spacing w:val="-3"/>
        </w:rPr>
        <w:t>den okritiska konsumtion</w:t>
      </w:r>
      <w:proofErr w:type="gramEnd"/>
      <w:r>
        <w:rPr>
          <w:rFonts w:ascii="Times New Roman" w:hAnsi="Times New Roman"/>
          <w:snapToGrid/>
          <w:spacing w:val="-3"/>
        </w:rPr>
        <w:t xml:space="preserve"> av det kommersiella nöjesutbudet förstås? Identitetsspe</w:t>
      </w:r>
      <w:r>
        <w:rPr>
          <w:rFonts w:ascii="Times New Roman" w:hAnsi="Times New Roman"/>
          <w:snapToGrid/>
          <w:spacing w:val="-3"/>
        </w:rPr>
        <w:t>let och traditionalismen var de medel som användes, men vad var målet? Både arbetarrörelsens och den progressiva musikrörelsens syn var att arbetarklassen och andra folkliga grupper passivt tog emot nöjesutbudet och att nöjeskonsumtionen därmed indoktriner</w:t>
      </w:r>
      <w:r>
        <w:rPr>
          <w:rFonts w:ascii="Times New Roman" w:hAnsi="Times New Roman"/>
          <w:snapToGrid/>
          <w:spacing w:val="-3"/>
        </w:rPr>
        <w:t>ade arbetarklassen. Enligt detta perspektiv var arbetarklassen offer för marknadens lockelser. Nöjeskonsumtionen förförde publiken. Samtidigt som arbetarklassen konsumerade attraktiva nöjen, påverkades den ”på köpet” av den kommersiella marknadens förestäl</w:t>
      </w:r>
      <w:r>
        <w:rPr>
          <w:rFonts w:ascii="Times New Roman" w:hAnsi="Times New Roman"/>
          <w:snapToGrid/>
          <w:spacing w:val="-3"/>
        </w:rPr>
        <w:t>lningar – föreställningar som var inbäddade i konsumtionsvarorna.</w:t>
      </w:r>
      <w:r>
        <w:rPr>
          <w:rStyle w:val="Fotnotsreferens"/>
          <w:rFonts w:ascii="Times New Roman" w:hAnsi="Times New Roman"/>
          <w:snapToGrid/>
          <w:spacing w:val="-3"/>
        </w:rPr>
        <w:footnoteReference w:id="68"/>
      </w:r>
      <w:r>
        <w:rPr>
          <w:rFonts w:ascii="Times New Roman" w:hAnsi="Times New Roman"/>
          <w:snapToGrid/>
          <w:spacing w:val="-3"/>
        </w:rPr>
        <w:t xml:space="preserve"> </w:t>
      </w:r>
    </w:p>
    <w:p w14:paraId="3D150D55" w14:textId="77777777" w:rsidR="00000000" w:rsidRDefault="00BC3002">
      <w:pPr>
        <w:pStyle w:val="Brdtext"/>
        <w:widowControl/>
        <w:rPr>
          <w:snapToGrid/>
          <w:lang w:val="sv-SE"/>
        </w:rPr>
      </w:pPr>
      <w:r>
        <w:rPr>
          <w:snapToGrid/>
        </w:rPr>
        <w:t xml:space="preserve">   </w:t>
      </w:r>
      <w:r>
        <w:rPr>
          <w:snapToGrid/>
          <w:lang w:val="sv-SE"/>
        </w:rPr>
        <w:t>Ett problem med det här sättet att förstå nöjeskonsumtionen är att den komplexa relationen mellan traditionalism och de nya nöjena inte beaktas.</w:t>
      </w:r>
      <w:r>
        <w:rPr>
          <w:rStyle w:val="Fotnotsreferens"/>
          <w:snapToGrid/>
        </w:rPr>
        <w:footnoteReference w:id="69"/>
      </w:r>
      <w:r>
        <w:rPr>
          <w:snapToGrid/>
          <w:lang w:val="sv-SE"/>
        </w:rPr>
        <w:t xml:space="preserve"> Jag ser i stället nöjeskonsumtionen som</w:t>
      </w:r>
      <w:r>
        <w:rPr>
          <w:snapToGrid/>
          <w:lang w:val="sv-SE"/>
        </w:rPr>
        <w:t xml:space="preserve"> ett aktivt val där identitetsspelet och traditionalismen fungerade som strategier för att tillgodose behovet av avkoppling, gemensamhet, spänning och verklighetsflykt, som bidrog till att vardagen blev lite lättare att bära. Nöjesbehovet medförde att arbe</w:t>
      </w:r>
      <w:r>
        <w:rPr>
          <w:snapToGrid/>
          <w:lang w:val="sv-SE"/>
        </w:rPr>
        <w:t xml:space="preserve">tarrörelsens strävan efter att skapa alternativ, som bildade och utvecklade arbetarklassen, inte alltid nådde avsett resultat. Det var till exempel inte lätt att ta upp kampen med den kommersiella nöjesindustrin på dess egna villkor. 1930- och 1940-talens </w:t>
      </w:r>
      <w:r>
        <w:rPr>
          <w:snapToGrid/>
          <w:lang w:val="sv-SE"/>
        </w:rPr>
        <w:t>Hollywoodfilmer var mer välgjorda och mer underhållande än arbetarrörelsens alternativ. Den kommersiella musiken under 1970-talet var tekniskt och innehållsligt sett av betydligt högre kvalitet än merparten av musikrörelsens produkter. Det var alltså nästa</w:t>
      </w:r>
      <w:r>
        <w:rPr>
          <w:snapToGrid/>
          <w:lang w:val="sv-SE"/>
        </w:rPr>
        <w:t xml:space="preserve">n omöjligt för alternativen att konkurrera med det kommersiella nöjesutbudet på dess egen arena. Säkerligen var detta ett </w:t>
      </w:r>
      <w:proofErr w:type="gramStart"/>
      <w:r>
        <w:rPr>
          <w:snapToGrid/>
          <w:lang w:val="sv-SE"/>
        </w:rPr>
        <w:t>skäl till varför</w:t>
      </w:r>
      <w:proofErr w:type="gramEnd"/>
      <w:r>
        <w:rPr>
          <w:snapToGrid/>
          <w:lang w:val="sv-SE"/>
        </w:rPr>
        <w:t xml:space="preserve"> arbetarklassen hellre konsumerade detta nöjesutbud än de mer seriösa alternativen.</w:t>
      </w:r>
    </w:p>
    <w:p w14:paraId="6BAD5C74" w14:textId="77777777" w:rsidR="00000000" w:rsidRDefault="00BC3002">
      <w:pPr>
        <w:widowControl/>
        <w:suppressAutoHyphens/>
        <w:spacing w:line="360" w:lineRule="auto"/>
        <w:jc w:val="both"/>
        <w:rPr>
          <w:rFonts w:ascii="Times New Roman" w:hAnsi="Times New Roman"/>
          <w:snapToGrid/>
          <w:spacing w:val="-3"/>
        </w:rPr>
      </w:pPr>
      <w:r>
        <w:rPr>
          <w:rFonts w:ascii="Times New Roman" w:hAnsi="Times New Roman"/>
          <w:snapToGrid/>
        </w:rPr>
        <w:t xml:space="preserve">   Ytterligare ett problem med arb</w:t>
      </w:r>
      <w:r>
        <w:rPr>
          <w:rFonts w:ascii="Times New Roman" w:hAnsi="Times New Roman"/>
          <w:snapToGrid/>
        </w:rPr>
        <w:t xml:space="preserve">etarrörelsens seriösa alternativ var att den betraktade arbetarbefolkningens nöjeskonsumtion ur ett offerperspektiv och såg arbetarna som okunniga och mindre vetande. På så sätt avvek </w:t>
      </w:r>
      <w:proofErr w:type="gramStart"/>
      <w:r>
        <w:rPr>
          <w:rFonts w:ascii="Times New Roman" w:hAnsi="Times New Roman"/>
          <w:snapToGrid/>
        </w:rPr>
        <w:t>vare sig arbetarrörelsen eller</w:t>
      </w:r>
      <w:proofErr w:type="gramEnd"/>
      <w:r>
        <w:rPr>
          <w:rFonts w:ascii="Times New Roman" w:hAnsi="Times New Roman"/>
          <w:snapToGrid/>
        </w:rPr>
        <w:t xml:space="preserve"> den progressiva musikrörelsen från det bo</w:t>
      </w:r>
      <w:r>
        <w:rPr>
          <w:rFonts w:ascii="Times New Roman" w:hAnsi="Times New Roman"/>
          <w:snapToGrid/>
        </w:rPr>
        <w:t xml:space="preserve">rgerliga perspektivet på arbetarkulturen – ett förhållningssätt som skapade ett behov av distansering och rebelliskhet. Litteraturvetaren Ulf </w:t>
      </w:r>
      <w:proofErr w:type="spellStart"/>
      <w:r>
        <w:rPr>
          <w:rFonts w:ascii="Times New Roman" w:hAnsi="Times New Roman"/>
          <w:snapToGrid/>
        </w:rPr>
        <w:t>Boethius</w:t>
      </w:r>
      <w:proofErr w:type="spellEnd"/>
      <w:r>
        <w:rPr>
          <w:rFonts w:ascii="Times New Roman" w:hAnsi="Times New Roman"/>
          <w:snapToGrid/>
        </w:rPr>
        <w:t xml:space="preserve"> menar att Nick Carter-litteraturen förutom rafflet också präglades av humor och glada skratt. Böckerna re</w:t>
      </w:r>
      <w:r>
        <w:rPr>
          <w:rFonts w:ascii="Times New Roman" w:hAnsi="Times New Roman"/>
          <w:snapToGrid/>
        </w:rPr>
        <w:t>presenterade ”</w:t>
      </w:r>
      <w:r>
        <w:rPr>
          <w:rFonts w:ascii="Times New Roman" w:hAnsi="Times New Roman"/>
          <w:i/>
          <w:snapToGrid/>
        </w:rPr>
        <w:t>en spricka i rationaliteten</w:t>
      </w:r>
      <w:r>
        <w:rPr>
          <w:rFonts w:ascii="Times New Roman" w:hAnsi="Times New Roman"/>
          <w:snapToGrid/>
        </w:rPr>
        <w:t>”.</w:t>
      </w:r>
      <w:r>
        <w:rPr>
          <w:rStyle w:val="Fotnotsreferens"/>
          <w:rFonts w:ascii="Times New Roman" w:hAnsi="Times New Roman"/>
          <w:snapToGrid/>
          <w:spacing w:val="-3"/>
        </w:rPr>
        <w:footnoteReference w:id="70"/>
      </w:r>
      <w:r>
        <w:rPr>
          <w:rFonts w:ascii="Times New Roman" w:hAnsi="Times New Roman"/>
          <w:snapToGrid/>
        </w:rPr>
        <w:t xml:space="preserve"> Denna spricka, det glada skrattet, var både ett sätt att avväpna kontrollförsöken och något som gav guldkant på tillvaron.</w:t>
      </w:r>
    </w:p>
    <w:p w14:paraId="74C0C187" w14:textId="77777777" w:rsidR="00000000" w:rsidRDefault="00BC3002">
      <w:pPr>
        <w:widowControl/>
        <w:suppressAutoHyphens/>
        <w:spacing w:line="360" w:lineRule="auto"/>
        <w:jc w:val="both"/>
        <w:rPr>
          <w:rFonts w:ascii="Times New Roman" w:hAnsi="Times New Roman"/>
          <w:bCs/>
          <w:spacing w:val="-3"/>
        </w:rPr>
      </w:pPr>
    </w:p>
    <w:p w14:paraId="21CD4DC2" w14:textId="77777777" w:rsidR="00000000" w:rsidRDefault="00BC3002">
      <w:pPr>
        <w:widowControl/>
        <w:tabs>
          <w:tab w:val="left" w:pos="-720"/>
        </w:tabs>
        <w:suppressAutoHyphens/>
        <w:spacing w:line="360" w:lineRule="auto"/>
        <w:jc w:val="both"/>
        <w:rPr>
          <w:rFonts w:ascii="Times New Roman" w:hAnsi="Times New Roman"/>
          <w:snapToGrid/>
          <w:szCs w:val="24"/>
        </w:rPr>
      </w:pPr>
      <w:r>
        <w:rPr>
          <w:rFonts w:ascii="Times New Roman" w:hAnsi="Times New Roman"/>
          <w:snapToGrid/>
          <w:szCs w:val="24"/>
        </w:rPr>
        <w:t>Björn Horgby</w:t>
      </w:r>
    </w:p>
    <w:p w14:paraId="5C2CCCBD" w14:textId="77777777" w:rsidR="00000000" w:rsidRDefault="00BC3002">
      <w:pPr>
        <w:widowControl/>
        <w:suppressAutoHyphens/>
        <w:spacing w:line="360" w:lineRule="auto"/>
        <w:jc w:val="both"/>
        <w:rPr>
          <w:rFonts w:ascii="Times New Roman" w:hAnsi="Times New Roman"/>
          <w:snapToGrid/>
          <w:spacing w:val="-3"/>
        </w:rPr>
      </w:pPr>
    </w:p>
    <w:p w14:paraId="3DB75084" w14:textId="77777777" w:rsidR="00000000" w:rsidRDefault="00BC3002">
      <w:pPr>
        <w:widowControl/>
        <w:suppressAutoHyphens/>
        <w:spacing w:line="360" w:lineRule="auto"/>
        <w:jc w:val="both"/>
        <w:rPr>
          <w:rFonts w:ascii="Times New Roman" w:hAnsi="Times New Roman"/>
          <w:snapToGrid/>
          <w:spacing w:val="-3"/>
        </w:rPr>
      </w:pPr>
    </w:p>
    <w:p w14:paraId="3C98BA56" w14:textId="77777777" w:rsidR="00000000" w:rsidRDefault="00BC3002">
      <w:pPr>
        <w:widowControl/>
        <w:suppressAutoHyphens/>
        <w:spacing w:line="360" w:lineRule="auto"/>
        <w:jc w:val="both"/>
        <w:rPr>
          <w:rFonts w:ascii="Times New Roman" w:hAnsi="Times New Roman"/>
          <w:snapToGrid/>
          <w:spacing w:val="-3"/>
        </w:rPr>
      </w:pPr>
    </w:p>
    <w:p w14:paraId="4A313BAD" w14:textId="77777777" w:rsidR="00000000" w:rsidRDefault="00BC3002">
      <w:pPr>
        <w:widowControl/>
        <w:suppressAutoHyphens/>
        <w:spacing w:line="360" w:lineRule="auto"/>
        <w:jc w:val="both"/>
        <w:rPr>
          <w:rFonts w:ascii="Times New Roman" w:hAnsi="Times New Roman"/>
          <w:snapToGrid/>
          <w:spacing w:val="-3"/>
        </w:rPr>
      </w:pPr>
    </w:p>
    <w:p w14:paraId="5DCB2BCB" w14:textId="77777777" w:rsidR="00000000" w:rsidRDefault="00BC3002">
      <w:pPr>
        <w:widowControl/>
        <w:suppressAutoHyphens/>
        <w:spacing w:line="360" w:lineRule="auto"/>
        <w:jc w:val="both"/>
        <w:rPr>
          <w:rFonts w:ascii="Times New Roman" w:hAnsi="Times New Roman"/>
          <w:snapToGrid/>
          <w:spacing w:val="-3"/>
        </w:rPr>
      </w:pPr>
    </w:p>
    <w:p w14:paraId="565C03AE" w14:textId="77777777" w:rsidR="00BC3002" w:rsidRDefault="00BC3002">
      <w:pPr>
        <w:suppressAutoHyphens/>
        <w:spacing w:line="360" w:lineRule="auto"/>
        <w:jc w:val="both"/>
        <w:rPr>
          <w:rFonts w:ascii="Times New Roman" w:hAnsi="Times New Roman"/>
          <w:bCs/>
          <w:spacing w:val="-3"/>
        </w:rPr>
      </w:pPr>
    </w:p>
    <w:sectPr w:rsidR="00BC3002">
      <w:headerReference w:type="even" r:id="rId10"/>
      <w:headerReference w:type="default" r:id="rId11"/>
      <w:endnotePr>
        <w:numFmt w:val="decimal"/>
      </w:endnotePr>
      <w:pgSz w:w="11907" w:h="16839" w:code="9"/>
      <w:pgMar w:top="1440" w:right="1440" w:bottom="720" w:left="144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65AD" w14:textId="77777777" w:rsidR="00BC3002" w:rsidRDefault="00BC3002">
      <w:pPr>
        <w:spacing w:line="20" w:lineRule="exact"/>
      </w:pPr>
    </w:p>
  </w:endnote>
  <w:endnote w:type="continuationSeparator" w:id="0">
    <w:p w14:paraId="6ED6C3AF" w14:textId="77777777" w:rsidR="00BC3002" w:rsidRDefault="00BC3002">
      <w:r>
        <w:t xml:space="preserve"> </w:t>
      </w:r>
    </w:p>
  </w:endnote>
  <w:endnote w:type="continuationNotice" w:id="1">
    <w:p w14:paraId="5A06B02D" w14:textId="77777777" w:rsidR="00BC3002" w:rsidRDefault="00BC300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4343" w14:textId="77777777" w:rsidR="00BC3002" w:rsidRDefault="00BC3002">
      <w:r>
        <w:separator/>
      </w:r>
    </w:p>
  </w:footnote>
  <w:footnote w:type="continuationSeparator" w:id="0">
    <w:p w14:paraId="19E33C5A" w14:textId="77777777" w:rsidR="00BC3002" w:rsidRDefault="00BC3002">
      <w:r>
        <w:continuationSeparator/>
      </w:r>
    </w:p>
  </w:footnote>
  <w:footnote w:id="1">
    <w:p w14:paraId="42AD596A" w14:textId="77777777" w:rsidR="00000000" w:rsidRDefault="00BC3002">
      <w:pPr>
        <w:pStyle w:val="Fotnotstext"/>
        <w:rPr>
          <w:lang w:val="sv-SE"/>
        </w:rPr>
      </w:pPr>
      <w:r>
        <w:rPr>
          <w:rStyle w:val="Fotnotsreferens"/>
        </w:rPr>
        <w:footnoteRef/>
      </w:r>
      <w:r>
        <w:rPr>
          <w:lang w:val="sv-SE"/>
        </w:rPr>
        <w:t xml:space="preserve"> Om begreppet moralisk panik, se Stanley Cohen, </w:t>
      </w:r>
      <w:r>
        <w:rPr>
          <w:i/>
          <w:iCs/>
          <w:lang w:val="sv-SE"/>
        </w:rPr>
        <w:t>Folk Devils and Mor</w:t>
      </w:r>
      <w:r>
        <w:rPr>
          <w:i/>
          <w:iCs/>
          <w:lang w:val="sv-SE"/>
        </w:rPr>
        <w:t xml:space="preserve">al </w:t>
      </w:r>
      <w:proofErr w:type="spellStart"/>
      <w:r>
        <w:rPr>
          <w:i/>
          <w:iCs/>
          <w:lang w:val="sv-SE"/>
        </w:rPr>
        <w:t>Panics</w:t>
      </w:r>
      <w:proofErr w:type="spellEnd"/>
      <w:r>
        <w:rPr>
          <w:i/>
          <w:iCs/>
          <w:lang w:val="sv-SE"/>
        </w:rPr>
        <w:t xml:space="preserve">. </w:t>
      </w:r>
      <w:r>
        <w:rPr>
          <w:i/>
          <w:iCs/>
          <w:lang w:val="en-GB"/>
        </w:rPr>
        <w:t xml:space="preserve">The Creation of the Mods and Rockers. </w:t>
      </w:r>
      <w:proofErr w:type="spellStart"/>
      <w:r>
        <w:rPr>
          <w:lang w:val="sv-SE"/>
        </w:rPr>
        <w:t>Abington</w:t>
      </w:r>
      <w:proofErr w:type="spellEnd"/>
      <w:r>
        <w:rPr>
          <w:lang w:val="sv-SE"/>
        </w:rPr>
        <w:t xml:space="preserve"> 2011. I det här sammanhanget är det inte nödvändigt med en strikt avgränsning av begreppet, eftersom det inte är de moraliska panikreaktionerna i sig som står i fokus. I stället använder jag de mora</w:t>
      </w:r>
      <w:r>
        <w:rPr>
          <w:lang w:val="sv-SE"/>
        </w:rPr>
        <w:t>liska reaktionerna för att visa att den kommersiella massmarknadens kulturella uttryck konsumerades av arbetarbefolkningen.</w:t>
      </w:r>
    </w:p>
  </w:footnote>
  <w:footnote w:id="2">
    <w:p w14:paraId="0F4BFE3E" w14:textId="77777777" w:rsidR="00000000" w:rsidRDefault="00BC3002">
      <w:pPr>
        <w:pStyle w:val="Fotnotstext"/>
        <w:rPr>
          <w:lang w:val="sv-SE"/>
        </w:rPr>
      </w:pPr>
      <w:r>
        <w:rPr>
          <w:rStyle w:val="Fotnotsreferens"/>
        </w:rPr>
        <w:footnoteRef/>
      </w:r>
      <w:r>
        <w:rPr>
          <w:lang w:val="sv-SE"/>
        </w:rPr>
        <w:t xml:space="preserve"> Här använder jag begreppet ”invasion” som bild för hur kommersiella kulturyttringar tar plats i och spelar roll för arbetarkulture</w:t>
      </w:r>
      <w:r>
        <w:rPr>
          <w:lang w:val="sv-SE"/>
        </w:rPr>
        <w:t>n.</w:t>
      </w:r>
    </w:p>
  </w:footnote>
  <w:footnote w:id="3">
    <w:p w14:paraId="716555FB" w14:textId="77777777" w:rsidR="00000000" w:rsidRDefault="00BC3002">
      <w:pPr>
        <w:pStyle w:val="Fotnotstext"/>
        <w:rPr>
          <w:lang w:val="en-GB"/>
        </w:rPr>
      </w:pPr>
      <w:r>
        <w:rPr>
          <w:rStyle w:val="Fotnotsreferens"/>
        </w:rPr>
        <w:footnoteRef/>
      </w:r>
      <w:r>
        <w:rPr>
          <w:lang w:val="sv-SE"/>
        </w:rPr>
        <w:t xml:space="preserve"> Jag diskuterar traditionalismen i Björn Horgby, </w:t>
      </w:r>
      <w:r>
        <w:rPr>
          <w:i/>
          <w:iCs/>
          <w:lang w:val="sv-SE"/>
        </w:rPr>
        <w:t xml:space="preserve">Egensinne och skötsamhet. Arbetarkulturen i Norrköping </w:t>
      </w:r>
      <w:proofErr w:type="gramStart"/>
      <w:r>
        <w:rPr>
          <w:i/>
          <w:iCs/>
          <w:lang w:val="sv-SE"/>
        </w:rPr>
        <w:t>1850-1940</w:t>
      </w:r>
      <w:proofErr w:type="gramEnd"/>
      <w:r>
        <w:rPr>
          <w:lang w:val="sv-SE"/>
        </w:rPr>
        <w:t xml:space="preserve">. </w:t>
      </w:r>
      <w:r>
        <w:rPr>
          <w:lang w:val="en-GB"/>
        </w:rPr>
        <w:t xml:space="preserve">Stockholm 1993; se </w:t>
      </w:r>
      <w:proofErr w:type="spellStart"/>
      <w:r>
        <w:rPr>
          <w:lang w:val="en-GB"/>
        </w:rPr>
        <w:t>även</w:t>
      </w:r>
      <w:proofErr w:type="spellEnd"/>
      <w:r>
        <w:rPr>
          <w:lang w:val="en-GB"/>
        </w:rPr>
        <w:t xml:space="preserve"> Peter Stearns</w:t>
      </w:r>
      <w:proofErr w:type="gramStart"/>
      <w:r>
        <w:rPr>
          <w:lang w:val="en-GB"/>
        </w:rPr>
        <w:t>, ”The</w:t>
      </w:r>
      <w:proofErr w:type="gramEnd"/>
      <w:r>
        <w:rPr>
          <w:lang w:val="en-GB"/>
        </w:rPr>
        <w:t xml:space="preserve"> Effort at Continuity in Working-Class Culture”, </w:t>
      </w:r>
      <w:proofErr w:type="spellStart"/>
      <w:r>
        <w:rPr>
          <w:lang w:val="en-GB"/>
        </w:rPr>
        <w:t>i</w:t>
      </w:r>
      <w:proofErr w:type="spellEnd"/>
      <w:r>
        <w:rPr>
          <w:lang w:val="en-GB"/>
        </w:rPr>
        <w:t xml:space="preserve"> </w:t>
      </w:r>
      <w:r>
        <w:rPr>
          <w:i/>
          <w:iCs/>
          <w:lang w:val="en-GB"/>
        </w:rPr>
        <w:t>Journal of Modern History</w:t>
      </w:r>
      <w:r>
        <w:rPr>
          <w:lang w:val="en-GB"/>
        </w:rPr>
        <w:t xml:space="preserve"> 1980, nr 4.</w:t>
      </w:r>
    </w:p>
  </w:footnote>
  <w:footnote w:id="4">
    <w:p w14:paraId="57A066A2" w14:textId="77777777" w:rsidR="00000000" w:rsidRDefault="00BC3002">
      <w:pPr>
        <w:pStyle w:val="Fotnotstext"/>
        <w:rPr>
          <w:lang w:val="sv-SE"/>
        </w:rPr>
      </w:pPr>
      <w:r>
        <w:rPr>
          <w:rStyle w:val="Fotnotsreferens"/>
        </w:rPr>
        <w:footnoteRef/>
      </w:r>
      <w:r>
        <w:rPr>
          <w:lang w:val="sv-SE"/>
        </w:rPr>
        <w:t xml:space="preserve"> Om </w:t>
      </w:r>
      <w:r>
        <w:rPr>
          <w:lang w:val="sv-SE"/>
        </w:rPr>
        <w:t xml:space="preserve">muntlig historia, se Lars Hansson &amp; Malin Thor red, </w:t>
      </w:r>
      <w:r>
        <w:rPr>
          <w:i/>
          <w:iCs/>
          <w:lang w:val="sv-SE"/>
        </w:rPr>
        <w:t>Muntlig historia</w:t>
      </w:r>
      <w:r>
        <w:rPr>
          <w:lang w:val="sv-SE"/>
        </w:rPr>
        <w:t xml:space="preserve">. Lund 2006. Det använda källmaterialet består av </w:t>
      </w:r>
      <w:proofErr w:type="gramStart"/>
      <w:r>
        <w:rPr>
          <w:lang w:val="sv-SE"/>
        </w:rPr>
        <w:t>Nordiska</w:t>
      </w:r>
      <w:proofErr w:type="gramEnd"/>
      <w:r>
        <w:rPr>
          <w:lang w:val="sv-SE"/>
        </w:rPr>
        <w:t xml:space="preserve"> museet, Yrkesminnen; Norrköpings Stadsmuseum, Arbetarminnen insamlade 1986-89 av Projekt Arbetarminnen; Norrköpings Stadsmuseum, </w:t>
      </w:r>
      <w:r>
        <w:rPr>
          <w:lang w:val="sv-SE"/>
        </w:rPr>
        <w:t xml:space="preserve">Intervjuinsamlingen ”Holmens dolda historia” insamlat 1990-91 av Folklivscentrum i Östergötland; Linköpings universitet, Intervjuprojektet, Norrköpings historia. 1900-talet, insamlat </w:t>
      </w:r>
      <w:proofErr w:type="gramStart"/>
      <w:r>
        <w:rPr>
          <w:lang w:val="sv-SE"/>
        </w:rPr>
        <w:t>1997-99</w:t>
      </w:r>
      <w:proofErr w:type="gramEnd"/>
      <w:r>
        <w:rPr>
          <w:lang w:val="sv-SE"/>
        </w:rPr>
        <w:t xml:space="preserve">. Om </w:t>
      </w:r>
      <w:proofErr w:type="gramStart"/>
      <w:r>
        <w:rPr>
          <w:lang w:val="sv-SE"/>
        </w:rPr>
        <w:t>Nordiska</w:t>
      </w:r>
      <w:proofErr w:type="gramEnd"/>
      <w:r>
        <w:rPr>
          <w:lang w:val="sv-SE"/>
        </w:rPr>
        <w:t xml:space="preserve"> museets minnesmaterial, se Bo Nilsson, </w:t>
      </w:r>
      <w:r>
        <w:rPr>
          <w:i/>
          <w:iCs/>
          <w:lang w:val="sv-SE"/>
        </w:rPr>
        <w:t>Folkhemmets a</w:t>
      </w:r>
      <w:r>
        <w:rPr>
          <w:i/>
          <w:iCs/>
          <w:lang w:val="sv-SE"/>
        </w:rPr>
        <w:t>rbetarminnen</w:t>
      </w:r>
      <w:r>
        <w:rPr>
          <w:lang w:val="sv-SE"/>
        </w:rPr>
        <w:t xml:space="preserve">. Stockholm 1996. Om Projekt Arbetarminnens intervjuer, se Eva Hesselgren &amp; Björn Horgby, ”Är muntlig historia något för historisk arbetslivsforskning?” i </w:t>
      </w:r>
      <w:r>
        <w:rPr>
          <w:i/>
          <w:iCs/>
          <w:lang w:val="sv-SE"/>
        </w:rPr>
        <w:t>Rig</w:t>
      </w:r>
      <w:r>
        <w:rPr>
          <w:lang w:val="sv-SE"/>
        </w:rPr>
        <w:t xml:space="preserve"> 1992, nr 4. Tio av intervjuerna är utgivna i Björn Horgby red, </w:t>
      </w:r>
      <w:r>
        <w:rPr>
          <w:i/>
          <w:iCs/>
          <w:lang w:val="sv-SE"/>
        </w:rPr>
        <w:t>Då brann det i gaveln.</w:t>
      </w:r>
      <w:r>
        <w:rPr>
          <w:i/>
          <w:iCs/>
          <w:lang w:val="sv-SE"/>
        </w:rPr>
        <w:t xml:space="preserve"> Fem textilarbetare berättar</w:t>
      </w:r>
      <w:r>
        <w:rPr>
          <w:lang w:val="sv-SE"/>
        </w:rPr>
        <w:t xml:space="preserve">. Norrköping 1990; och Lena </w:t>
      </w:r>
      <w:proofErr w:type="spellStart"/>
      <w:r>
        <w:rPr>
          <w:lang w:val="sv-SE"/>
        </w:rPr>
        <w:t>Wernevik</w:t>
      </w:r>
      <w:proofErr w:type="spellEnd"/>
      <w:r>
        <w:rPr>
          <w:lang w:val="sv-SE"/>
        </w:rPr>
        <w:t xml:space="preserve"> red, </w:t>
      </w:r>
      <w:r>
        <w:rPr>
          <w:i/>
          <w:iCs/>
          <w:lang w:val="sv-SE"/>
        </w:rPr>
        <w:t>Bullakandidater. Fem textilarbeterskor minns</w:t>
      </w:r>
      <w:r>
        <w:rPr>
          <w:lang w:val="sv-SE"/>
        </w:rPr>
        <w:t xml:space="preserve">. Norrköping 1990. Om Holmens dolda historia, se Christer </w:t>
      </w:r>
      <w:proofErr w:type="spellStart"/>
      <w:r>
        <w:rPr>
          <w:lang w:val="sv-SE"/>
        </w:rPr>
        <w:t>Dominder</w:t>
      </w:r>
      <w:proofErr w:type="spellEnd"/>
      <w:r>
        <w:rPr>
          <w:lang w:val="sv-SE"/>
        </w:rPr>
        <w:t xml:space="preserve"> &amp; Björn Horgby, </w:t>
      </w:r>
      <w:r>
        <w:rPr>
          <w:i/>
          <w:iCs/>
          <w:lang w:val="sv-SE"/>
        </w:rPr>
        <w:t>Papperets mästare. Minnen från arbetslivet vid Holmens bruk</w:t>
      </w:r>
      <w:r>
        <w:rPr>
          <w:i/>
          <w:iCs/>
          <w:lang w:val="sv-SE"/>
        </w:rPr>
        <w:t xml:space="preserve"> under 1900-talet. </w:t>
      </w:r>
      <w:r>
        <w:rPr>
          <w:lang w:val="sv-SE"/>
        </w:rPr>
        <w:t xml:space="preserve">Norrköping 1997; om Norrköpings historia. 1900-talet, se Björn Horgby, ”Identitet och vardagsliv”, i Hans Nilsson red, </w:t>
      </w:r>
      <w:r>
        <w:rPr>
          <w:i/>
          <w:iCs/>
          <w:lang w:val="sv-SE"/>
        </w:rPr>
        <w:t>Norrköpings historia. 1900-talet.</w:t>
      </w:r>
      <w:r>
        <w:rPr>
          <w:lang w:val="sv-SE"/>
        </w:rPr>
        <w:t xml:space="preserve"> Norrköping 2000, s 489. Om den folkliga kulturen i Norrköping, se även Börje Hjorth </w:t>
      </w:r>
      <w:r>
        <w:rPr>
          <w:lang w:val="sv-SE"/>
        </w:rPr>
        <w:t xml:space="preserve">red, </w:t>
      </w:r>
      <w:r>
        <w:rPr>
          <w:i/>
          <w:iCs/>
          <w:lang w:val="sv-SE"/>
        </w:rPr>
        <w:t>Gate upp och gate ner. Folkminnen från Norrköping</w:t>
      </w:r>
      <w:r>
        <w:rPr>
          <w:lang w:val="sv-SE"/>
        </w:rPr>
        <w:t xml:space="preserve">. Norrköping 2003. Se även ABF-Norrköpings minnesinsamling Anne Giertz red, </w:t>
      </w:r>
      <w:r>
        <w:rPr>
          <w:i/>
          <w:iCs/>
          <w:lang w:val="sv-SE"/>
        </w:rPr>
        <w:t>Minnen från Norrköping Del III</w:t>
      </w:r>
      <w:r>
        <w:rPr>
          <w:lang w:val="sv-SE"/>
        </w:rPr>
        <w:t>. Norrköping 1985.</w:t>
      </w:r>
    </w:p>
  </w:footnote>
  <w:footnote w:id="5">
    <w:p w14:paraId="3F8E36C8" w14:textId="77777777" w:rsidR="00000000" w:rsidRDefault="00BC3002">
      <w:pPr>
        <w:widowControl/>
        <w:autoSpaceDE w:val="0"/>
        <w:autoSpaceDN w:val="0"/>
        <w:adjustRightInd w:val="0"/>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Tommy Gustafsson &amp; Klara Arnberg, </w:t>
      </w:r>
      <w:r>
        <w:rPr>
          <w:rFonts w:ascii="Times New Roman" w:hAnsi="Times New Roman"/>
          <w:i/>
          <w:iCs/>
          <w:sz w:val="20"/>
        </w:rPr>
        <w:t>Moralpanik och lågkultur. Genus- och medi</w:t>
      </w:r>
      <w:r>
        <w:rPr>
          <w:rFonts w:ascii="Times New Roman" w:hAnsi="Times New Roman"/>
          <w:i/>
          <w:iCs/>
          <w:sz w:val="20"/>
        </w:rPr>
        <w:t xml:space="preserve">ehistoriska analyser </w:t>
      </w:r>
      <w:proofErr w:type="gramStart"/>
      <w:r>
        <w:rPr>
          <w:rFonts w:ascii="Times New Roman" w:hAnsi="Times New Roman"/>
          <w:i/>
          <w:iCs/>
          <w:sz w:val="20"/>
        </w:rPr>
        <w:t>1900-2012</w:t>
      </w:r>
      <w:proofErr w:type="gramEnd"/>
      <w:r>
        <w:rPr>
          <w:rFonts w:ascii="Times New Roman" w:hAnsi="Times New Roman"/>
          <w:sz w:val="20"/>
        </w:rPr>
        <w:t xml:space="preserve">. Stockholm 2012; även Mattias Svensson, </w:t>
      </w:r>
      <w:r>
        <w:rPr>
          <w:rFonts w:ascii="Times New Roman" w:hAnsi="Times New Roman"/>
          <w:i/>
          <w:iCs/>
          <w:sz w:val="20"/>
        </w:rPr>
        <w:t>Medierna, medierådet och moralpaniken. Skildringen av videovåld och datorspel i jämförelse</w:t>
      </w:r>
      <w:r>
        <w:rPr>
          <w:rFonts w:ascii="Times New Roman" w:hAnsi="Times New Roman"/>
          <w:sz w:val="20"/>
        </w:rPr>
        <w:t xml:space="preserve">. 2009, digital resurs, </w:t>
      </w:r>
      <w:hyperlink r:id="rId1" w:history="1">
        <w:r>
          <w:rPr>
            <w:rStyle w:val="Hyperlnk"/>
            <w:rFonts w:ascii="Times New Roman" w:hAnsi="Times New Roman"/>
            <w:sz w:val="20"/>
          </w:rPr>
          <w:t>htt</w:t>
        </w:r>
        <w:r>
          <w:rPr>
            <w:rStyle w:val="Hyperlnk"/>
            <w:rFonts w:ascii="Times New Roman" w:hAnsi="Times New Roman"/>
            <w:sz w:val="20"/>
          </w:rPr>
          <w:t>p</w:t>
        </w:r>
        <w:r>
          <w:rPr>
            <w:rStyle w:val="Hyperlnk"/>
            <w:rFonts w:ascii="Times New Roman" w:hAnsi="Times New Roman"/>
            <w:sz w:val="20"/>
          </w:rPr>
          <w:t>:</w:t>
        </w:r>
        <w:r>
          <w:rPr>
            <w:rStyle w:val="Hyperlnk"/>
            <w:rFonts w:ascii="Times New Roman" w:hAnsi="Times New Roman"/>
            <w:sz w:val="20"/>
          </w:rPr>
          <w:t>//www.timbro.se/bokhandel/pdf/9175667140.pdf</w:t>
        </w:r>
      </w:hyperlink>
      <w:r>
        <w:rPr>
          <w:rFonts w:ascii="Times New Roman" w:hAnsi="Times New Roman"/>
          <w:sz w:val="20"/>
        </w:rPr>
        <w:t xml:space="preserve">. </w:t>
      </w:r>
    </w:p>
  </w:footnote>
  <w:footnote w:id="6">
    <w:p w14:paraId="4DD88001" w14:textId="77777777" w:rsidR="00000000" w:rsidRDefault="00BC3002">
      <w:pPr>
        <w:pStyle w:val="Fotnotstext"/>
        <w:rPr>
          <w:lang w:val="sv-SE"/>
        </w:rPr>
      </w:pPr>
      <w:r>
        <w:rPr>
          <w:rStyle w:val="Fotnotsreferens"/>
        </w:rPr>
        <w:footnoteRef/>
      </w:r>
      <w:r>
        <w:rPr>
          <w:lang w:val="sv-SE"/>
        </w:rPr>
        <w:t xml:space="preserve"> Jag sätter likhetstecken mellan ”kultur” och ”nöjen”. Det beror på att jag här definierar ”kultur” som kollektivt kommunicerat medvetande och detta innefattar nöjen, se till exempel Billy Ehn &amp; Orvar Löfgre</w:t>
      </w:r>
      <w:r>
        <w:rPr>
          <w:lang w:val="sv-SE"/>
        </w:rPr>
        <w:t xml:space="preserve">n, </w:t>
      </w:r>
      <w:r>
        <w:rPr>
          <w:i/>
          <w:iCs/>
          <w:lang w:val="sv-SE"/>
        </w:rPr>
        <w:t>Kulturanalys. Ett etnologiskt perspektiv</w:t>
      </w:r>
      <w:r>
        <w:rPr>
          <w:lang w:val="sv-SE"/>
        </w:rPr>
        <w:t>. Lund 1982. Jfr B Horgby 1993, där jag använder en något annorlunda definition.</w:t>
      </w:r>
    </w:p>
  </w:footnote>
  <w:footnote w:id="7">
    <w:p w14:paraId="05B38F0B" w14:textId="77777777" w:rsidR="00000000" w:rsidRDefault="00BC3002">
      <w:pPr>
        <w:pStyle w:val="Fotnotstext"/>
        <w:rPr>
          <w:lang w:val="sv-SE"/>
        </w:rPr>
      </w:pPr>
      <w:r>
        <w:rPr>
          <w:rStyle w:val="Fotnotsreferens"/>
        </w:rPr>
        <w:footnoteRef/>
      </w:r>
      <w:r>
        <w:rPr>
          <w:lang w:val="sv-SE"/>
        </w:rPr>
        <w:t xml:space="preserve"> Om begreppet fritid och </w:t>
      </w:r>
      <w:proofErr w:type="spellStart"/>
      <w:r>
        <w:rPr>
          <w:lang w:val="sv-SE"/>
        </w:rPr>
        <w:t>fritidspolitiken</w:t>
      </w:r>
      <w:proofErr w:type="spellEnd"/>
      <w:r>
        <w:rPr>
          <w:lang w:val="sv-SE"/>
        </w:rPr>
        <w:t xml:space="preserve">, se Hans-Erik Olson, </w:t>
      </w:r>
      <w:r>
        <w:rPr>
          <w:i/>
          <w:lang w:val="sv-SE"/>
        </w:rPr>
        <w:t>Staten och ungdomens fritid</w:t>
      </w:r>
      <w:r>
        <w:rPr>
          <w:lang w:val="sv-SE"/>
        </w:rPr>
        <w:t>. Lund 1992</w:t>
      </w:r>
    </w:p>
  </w:footnote>
  <w:footnote w:id="8">
    <w:p w14:paraId="548342F4" w14:textId="77777777" w:rsidR="00000000" w:rsidRDefault="00BC3002">
      <w:pPr>
        <w:pStyle w:val="Fotnotstext"/>
        <w:rPr>
          <w:lang w:val="sv-SE"/>
        </w:rPr>
      </w:pPr>
      <w:r>
        <w:rPr>
          <w:rStyle w:val="Fotnotsreferens"/>
        </w:rPr>
        <w:footnoteRef/>
      </w:r>
      <w:r>
        <w:rPr>
          <w:lang w:val="sv-SE"/>
        </w:rPr>
        <w:t xml:space="preserve"> Alf Johansson, </w:t>
      </w:r>
      <w:r>
        <w:rPr>
          <w:i/>
          <w:lang w:val="sv-SE"/>
        </w:rPr>
        <w:t>Den effektiv</w:t>
      </w:r>
      <w:r>
        <w:rPr>
          <w:i/>
          <w:lang w:val="sv-SE"/>
        </w:rPr>
        <w:t xml:space="preserve">a arbetstiden. Verkstäderna och arbetsintensitetens problem </w:t>
      </w:r>
      <w:proofErr w:type="gramStart"/>
      <w:r>
        <w:rPr>
          <w:i/>
          <w:lang w:val="sv-SE"/>
        </w:rPr>
        <w:t>1900-1920</w:t>
      </w:r>
      <w:proofErr w:type="gramEnd"/>
      <w:r>
        <w:rPr>
          <w:lang w:val="sv-SE"/>
        </w:rPr>
        <w:t>. Uppsala 1977</w:t>
      </w:r>
    </w:p>
  </w:footnote>
  <w:footnote w:id="9">
    <w:p w14:paraId="4AAC800E" w14:textId="77777777" w:rsidR="00000000" w:rsidRDefault="00BC3002">
      <w:pPr>
        <w:pStyle w:val="Fotnotstext"/>
        <w:rPr>
          <w:lang w:val="sv-SE"/>
        </w:rPr>
      </w:pPr>
      <w:r>
        <w:rPr>
          <w:rStyle w:val="Fotnotsreferens"/>
        </w:rPr>
        <w:footnoteRef/>
      </w:r>
      <w:r>
        <w:rPr>
          <w:lang w:val="sv-SE"/>
        </w:rPr>
        <w:t xml:space="preserve"> Björn Horgby, </w:t>
      </w:r>
      <w:r>
        <w:rPr>
          <w:i/>
          <w:lang w:val="sv-SE"/>
        </w:rPr>
        <w:t xml:space="preserve">Den disciplinerade arbetaren. Brottslighet och social förändring i Norrköping </w:t>
      </w:r>
      <w:proofErr w:type="gramStart"/>
      <w:r>
        <w:rPr>
          <w:i/>
          <w:lang w:val="sv-SE"/>
        </w:rPr>
        <w:t>1850-1910</w:t>
      </w:r>
      <w:proofErr w:type="gramEnd"/>
      <w:r>
        <w:rPr>
          <w:lang w:val="sv-SE"/>
        </w:rPr>
        <w:t>. Stockholm 1986, kapitel 4.</w:t>
      </w:r>
    </w:p>
  </w:footnote>
  <w:footnote w:id="10">
    <w:p w14:paraId="56B964C3" w14:textId="77777777" w:rsidR="00000000" w:rsidRDefault="00BC3002">
      <w:pPr>
        <w:pStyle w:val="Fotnotstext"/>
        <w:rPr>
          <w:lang w:val="sv-SE"/>
        </w:rPr>
      </w:pPr>
      <w:r>
        <w:rPr>
          <w:rStyle w:val="Fotnotsreferens"/>
        </w:rPr>
        <w:footnoteRef/>
      </w:r>
      <w:r>
        <w:rPr>
          <w:lang w:val="sv-SE"/>
        </w:rPr>
        <w:t xml:space="preserve"> Mats Franzén, </w:t>
      </w:r>
      <w:r>
        <w:rPr>
          <w:i/>
          <w:iCs/>
          <w:lang w:val="sv-SE"/>
        </w:rPr>
        <w:t>Den folkliga staden</w:t>
      </w:r>
      <w:r>
        <w:rPr>
          <w:lang w:val="sv-SE"/>
        </w:rPr>
        <w:t>. Sto</w:t>
      </w:r>
      <w:r>
        <w:rPr>
          <w:lang w:val="sv-SE"/>
        </w:rPr>
        <w:t xml:space="preserve">ckholm 1992; B Horgby 1986, 1993 och 2000; Birgitta Skarin Frykman </w:t>
      </w:r>
      <w:r>
        <w:rPr>
          <w:i/>
          <w:lang w:val="sv-SE"/>
        </w:rPr>
        <w:t>Arbetarkultur – Göteborg 1890</w:t>
      </w:r>
      <w:r>
        <w:rPr>
          <w:lang w:val="sv-SE"/>
        </w:rPr>
        <w:t xml:space="preserve">. Göteborg 1990; H-E Olson 1992; om TV-mediet, se Mats Jönsson &amp; Pelle </w:t>
      </w:r>
      <w:proofErr w:type="spellStart"/>
      <w:r>
        <w:rPr>
          <w:lang w:val="sv-SE"/>
        </w:rPr>
        <w:t>Snickars</w:t>
      </w:r>
      <w:proofErr w:type="spellEnd"/>
      <w:r>
        <w:rPr>
          <w:lang w:val="sv-SE"/>
        </w:rPr>
        <w:t xml:space="preserve">, ”Introduktion”, i Mats Jönsson &amp; Pelle </w:t>
      </w:r>
      <w:proofErr w:type="spellStart"/>
      <w:r>
        <w:rPr>
          <w:lang w:val="sv-SE"/>
        </w:rPr>
        <w:t>Snickars</w:t>
      </w:r>
      <w:proofErr w:type="spellEnd"/>
      <w:r>
        <w:rPr>
          <w:lang w:val="sv-SE"/>
        </w:rPr>
        <w:t xml:space="preserve"> red, </w:t>
      </w:r>
      <w:r>
        <w:rPr>
          <w:i/>
          <w:iCs/>
          <w:lang w:val="sv-SE"/>
        </w:rPr>
        <w:t>Medier &amp; politik. Om arbet</w:t>
      </w:r>
      <w:r>
        <w:rPr>
          <w:i/>
          <w:iCs/>
          <w:lang w:val="sv-SE"/>
        </w:rPr>
        <w:t>arrörelsens mediestrategier under 1900-talet</w:t>
      </w:r>
      <w:r>
        <w:rPr>
          <w:lang w:val="sv-SE"/>
        </w:rPr>
        <w:t xml:space="preserve">. Stockholm 2007, s </w:t>
      </w:r>
      <w:proofErr w:type="gramStart"/>
      <w:r>
        <w:rPr>
          <w:lang w:val="sv-SE"/>
        </w:rPr>
        <w:t>14-22</w:t>
      </w:r>
      <w:proofErr w:type="gramEnd"/>
      <w:r>
        <w:rPr>
          <w:lang w:val="sv-SE"/>
        </w:rPr>
        <w:t>, 36-37.</w:t>
      </w:r>
    </w:p>
  </w:footnote>
  <w:footnote w:id="11">
    <w:p w14:paraId="215B7837" w14:textId="77777777" w:rsidR="00000000" w:rsidRDefault="00BC3002">
      <w:pPr>
        <w:pStyle w:val="Fotnotstext"/>
        <w:rPr>
          <w:lang w:val="sv-SE"/>
        </w:rPr>
      </w:pPr>
      <w:r>
        <w:rPr>
          <w:rStyle w:val="Fotnotsreferens"/>
        </w:rPr>
        <w:footnoteRef/>
      </w:r>
      <w:r>
        <w:rPr>
          <w:lang w:val="sv-SE"/>
        </w:rPr>
        <w:t xml:space="preserve"> Den brittiske forskaren Seymour </w:t>
      </w:r>
      <w:proofErr w:type="spellStart"/>
      <w:r>
        <w:rPr>
          <w:lang w:val="sv-SE"/>
        </w:rPr>
        <w:t>Rowntree</w:t>
      </w:r>
      <w:proofErr w:type="spellEnd"/>
      <w:r>
        <w:rPr>
          <w:lang w:val="sv-SE"/>
        </w:rPr>
        <w:t xml:space="preserve"> gjorde i slutet av 1800-talet en undersökning av när under livet arbetarbefolkningen var fattig. Han gjorde om samma studie i slutet av</w:t>
      </w:r>
      <w:r>
        <w:rPr>
          <w:lang w:val="sv-SE"/>
        </w:rPr>
        <w:t xml:space="preserve"> 1930-talet och fann att livsloppen var relativt oförändrade. Studien refereras bland annat i B Skarin Frykman 1990.</w:t>
      </w:r>
    </w:p>
  </w:footnote>
  <w:footnote w:id="12">
    <w:p w14:paraId="4D1F949F" w14:textId="77777777" w:rsidR="00000000" w:rsidRDefault="00BC3002">
      <w:pPr>
        <w:pStyle w:val="Fotnotstext"/>
        <w:rPr>
          <w:lang w:val="en-GB"/>
        </w:rPr>
      </w:pPr>
      <w:r>
        <w:rPr>
          <w:rStyle w:val="Fotnotsreferens"/>
        </w:rPr>
        <w:footnoteRef/>
      </w:r>
      <w:r>
        <w:rPr>
          <w:lang w:val="en-GB"/>
        </w:rPr>
        <w:t xml:space="preserve"> Se not 3; M </w:t>
      </w:r>
      <w:proofErr w:type="spellStart"/>
      <w:r>
        <w:rPr>
          <w:lang w:val="en-GB"/>
        </w:rPr>
        <w:t>Franzén</w:t>
      </w:r>
      <w:proofErr w:type="spellEnd"/>
      <w:r>
        <w:rPr>
          <w:lang w:val="en-GB"/>
        </w:rPr>
        <w:t xml:space="preserve"> 1992, s 233; B Horgby 2000.</w:t>
      </w:r>
    </w:p>
  </w:footnote>
  <w:footnote w:id="13">
    <w:p w14:paraId="4F956BE8" w14:textId="77777777" w:rsidR="00000000" w:rsidRDefault="00BC3002">
      <w:pPr>
        <w:pStyle w:val="Fotnotstext"/>
      </w:pPr>
      <w:r>
        <w:rPr>
          <w:rStyle w:val="Fotnotsreferens"/>
        </w:rPr>
        <w:footnoteRef/>
      </w:r>
      <w:r>
        <w:t xml:space="preserve"> B Horgby 2000, s 492</w:t>
      </w:r>
    </w:p>
  </w:footnote>
  <w:footnote w:id="14">
    <w:p w14:paraId="32597C72" w14:textId="77777777" w:rsidR="00000000" w:rsidRDefault="00BC3002">
      <w:pPr>
        <w:pStyle w:val="Fotnotstext"/>
        <w:rPr>
          <w:lang w:val="sv-SE"/>
        </w:rPr>
      </w:pPr>
      <w:r>
        <w:rPr>
          <w:rStyle w:val="Fotnotsreferens"/>
        </w:rPr>
        <w:footnoteRef/>
      </w:r>
      <w:r>
        <w:rPr>
          <w:lang w:val="sv-SE"/>
        </w:rPr>
        <w:t xml:space="preserve"> Orvar Löfgren, “Torftig kultur – för vem?”, i </w:t>
      </w:r>
      <w:r>
        <w:rPr>
          <w:i/>
          <w:iCs/>
          <w:lang w:val="sv-SE"/>
        </w:rPr>
        <w:t xml:space="preserve">Uppväxtvillkor </w:t>
      </w:r>
      <w:r>
        <w:rPr>
          <w:lang w:val="sv-SE"/>
        </w:rPr>
        <w:t>198</w:t>
      </w:r>
      <w:r>
        <w:rPr>
          <w:lang w:val="sv-SE"/>
        </w:rPr>
        <w:t xml:space="preserve">5, s </w:t>
      </w:r>
      <w:proofErr w:type="gramStart"/>
      <w:r>
        <w:rPr>
          <w:lang w:val="sv-SE"/>
        </w:rPr>
        <w:t>82-83</w:t>
      </w:r>
      <w:proofErr w:type="gramEnd"/>
    </w:p>
  </w:footnote>
  <w:footnote w:id="15">
    <w:p w14:paraId="2E080119" w14:textId="77777777" w:rsidR="00000000" w:rsidRDefault="00BC3002">
      <w:pPr>
        <w:pStyle w:val="Fotnotstext"/>
        <w:rPr>
          <w:lang w:val="sv-SE"/>
        </w:rPr>
      </w:pPr>
      <w:r>
        <w:rPr>
          <w:rStyle w:val="Fotnotsreferens"/>
        </w:rPr>
        <w:footnoteRef/>
      </w:r>
      <w:r>
        <w:rPr>
          <w:lang w:val="sv-SE"/>
        </w:rPr>
        <w:t xml:space="preserve"> I B Horgby 1993, särskilt i kapitel 9 diskuterar jag detta.</w:t>
      </w:r>
    </w:p>
  </w:footnote>
  <w:footnote w:id="16">
    <w:p w14:paraId="041EF434" w14:textId="77777777" w:rsidR="00000000" w:rsidRDefault="00BC3002">
      <w:pPr>
        <w:pStyle w:val="Fotnotstext"/>
        <w:rPr>
          <w:lang w:val="sv-SE"/>
        </w:rPr>
      </w:pPr>
      <w:r>
        <w:rPr>
          <w:rStyle w:val="Fotnotsreferens"/>
        </w:rPr>
        <w:footnoteRef/>
      </w:r>
      <w:r>
        <w:rPr>
          <w:lang w:val="sv-SE"/>
        </w:rPr>
        <w:t xml:space="preserve"> Om avgränsningarna mot hegemonin och hegemonianspråken, se B Horgby 1993 och Björn Horgby, </w:t>
      </w:r>
      <w:r>
        <w:rPr>
          <w:i/>
          <w:iCs/>
          <w:lang w:val="sv-SE"/>
        </w:rPr>
        <w:t>Kampen om facket. Den socialdemokratiska hegemonins förändringar.</w:t>
      </w:r>
      <w:r>
        <w:rPr>
          <w:lang w:val="sv-SE"/>
        </w:rPr>
        <w:t xml:space="preserve"> Umeå 2012.</w:t>
      </w:r>
    </w:p>
  </w:footnote>
  <w:footnote w:id="17">
    <w:p w14:paraId="328B1362" w14:textId="77777777" w:rsidR="00000000" w:rsidRDefault="00BC3002">
      <w:pPr>
        <w:widowControl/>
        <w:suppressAutoHyphens/>
        <w:jc w:val="both"/>
        <w:rPr>
          <w:rFonts w:ascii="Times New Roman" w:hAnsi="Times New Roman"/>
          <w:sz w:val="20"/>
        </w:rPr>
      </w:pPr>
      <w:r>
        <w:rPr>
          <w:rStyle w:val="Fotnotsreferens"/>
          <w:rFonts w:ascii="Times New Roman" w:hAnsi="Times New Roman"/>
          <w:sz w:val="20"/>
        </w:rPr>
        <w:footnoteRef/>
      </w:r>
      <w:r>
        <w:rPr>
          <w:rFonts w:ascii="Times New Roman" w:hAnsi="Times New Roman"/>
          <w:sz w:val="20"/>
        </w:rPr>
        <w:t xml:space="preserve"> För svenska</w:t>
      </w:r>
      <w:r>
        <w:rPr>
          <w:rFonts w:ascii="Times New Roman" w:hAnsi="Times New Roman"/>
          <w:sz w:val="20"/>
        </w:rPr>
        <w:t xml:space="preserve"> studier, se Ulf </w:t>
      </w:r>
      <w:proofErr w:type="spellStart"/>
      <w:r>
        <w:rPr>
          <w:rFonts w:ascii="Times New Roman" w:hAnsi="Times New Roman"/>
          <w:sz w:val="20"/>
        </w:rPr>
        <w:t>Boethius</w:t>
      </w:r>
      <w:proofErr w:type="spellEnd"/>
      <w:r>
        <w:rPr>
          <w:rFonts w:ascii="Times New Roman" w:hAnsi="Times New Roman"/>
          <w:sz w:val="20"/>
        </w:rPr>
        <w:t xml:space="preserve">, </w:t>
      </w:r>
      <w:r>
        <w:rPr>
          <w:rFonts w:ascii="Times New Roman" w:hAnsi="Times New Roman"/>
          <w:i/>
          <w:iCs/>
          <w:sz w:val="20"/>
        </w:rPr>
        <w:t>När Nick Carter drevs på flykten</w:t>
      </w:r>
      <w:r>
        <w:rPr>
          <w:rFonts w:ascii="Times New Roman" w:hAnsi="Times New Roman"/>
          <w:sz w:val="20"/>
        </w:rPr>
        <w:t xml:space="preserve">. </w:t>
      </w:r>
      <w:r>
        <w:rPr>
          <w:rFonts w:ascii="Times New Roman" w:hAnsi="Times New Roman"/>
          <w:i/>
          <w:snapToGrid/>
          <w:sz w:val="20"/>
        </w:rPr>
        <w:t xml:space="preserve">Kampen mot ”smutslitteraturen” i Sverige </w:t>
      </w:r>
      <w:proofErr w:type="gramStart"/>
      <w:r>
        <w:rPr>
          <w:rFonts w:ascii="Times New Roman" w:hAnsi="Times New Roman"/>
          <w:i/>
          <w:snapToGrid/>
          <w:sz w:val="20"/>
        </w:rPr>
        <w:t>1908-1909</w:t>
      </w:r>
      <w:proofErr w:type="gramEnd"/>
      <w:r>
        <w:rPr>
          <w:rFonts w:ascii="Times New Roman" w:hAnsi="Times New Roman"/>
          <w:i/>
          <w:snapToGrid/>
          <w:sz w:val="20"/>
        </w:rPr>
        <w:t xml:space="preserve">. </w:t>
      </w:r>
      <w:r>
        <w:rPr>
          <w:rFonts w:ascii="Times New Roman" w:hAnsi="Times New Roman"/>
          <w:sz w:val="20"/>
        </w:rPr>
        <w:t xml:space="preserve">Stockholm 1989; Johan </w:t>
      </w:r>
      <w:proofErr w:type="spellStart"/>
      <w:r>
        <w:rPr>
          <w:rFonts w:ascii="Times New Roman" w:hAnsi="Times New Roman"/>
          <w:sz w:val="20"/>
        </w:rPr>
        <w:t>Fornäs</w:t>
      </w:r>
      <w:proofErr w:type="spellEnd"/>
      <w:r>
        <w:rPr>
          <w:rFonts w:ascii="Times New Roman" w:hAnsi="Times New Roman"/>
          <w:sz w:val="20"/>
        </w:rPr>
        <w:t xml:space="preserve">, </w:t>
      </w:r>
      <w:r>
        <w:rPr>
          <w:rFonts w:ascii="Times New Roman" w:hAnsi="Times New Roman"/>
          <w:i/>
          <w:iCs/>
          <w:sz w:val="20"/>
        </w:rPr>
        <w:t>Moderna människor. Folkhemmet och jazzen.</w:t>
      </w:r>
      <w:r>
        <w:rPr>
          <w:rFonts w:ascii="Times New Roman" w:hAnsi="Times New Roman"/>
          <w:sz w:val="20"/>
        </w:rPr>
        <w:t xml:space="preserve"> Stockholm 2004; Jonas Frykman, </w:t>
      </w:r>
      <w:r>
        <w:rPr>
          <w:rFonts w:ascii="Times New Roman" w:hAnsi="Times New Roman"/>
          <w:i/>
          <w:iCs/>
          <w:sz w:val="20"/>
        </w:rPr>
        <w:t>Dansbaneeländet.</w:t>
      </w:r>
      <w:r>
        <w:rPr>
          <w:rFonts w:ascii="Times New Roman" w:hAnsi="Times New Roman"/>
          <w:sz w:val="20"/>
        </w:rPr>
        <w:t xml:space="preserve"> Stockholm 1988; T Gusta</w:t>
      </w:r>
      <w:r>
        <w:rPr>
          <w:rFonts w:ascii="Times New Roman" w:hAnsi="Times New Roman"/>
          <w:sz w:val="20"/>
        </w:rPr>
        <w:t xml:space="preserve">fsson &amp; K Arnberg 2012; jfr Erik </w:t>
      </w:r>
      <w:proofErr w:type="spellStart"/>
      <w:r>
        <w:rPr>
          <w:rFonts w:ascii="Times New Roman" w:hAnsi="Times New Roman"/>
          <w:sz w:val="20"/>
        </w:rPr>
        <w:t>Höjdestrand</w:t>
      </w:r>
      <w:proofErr w:type="spellEnd"/>
      <w:r>
        <w:rPr>
          <w:rFonts w:ascii="Times New Roman" w:hAnsi="Times New Roman"/>
          <w:sz w:val="20"/>
        </w:rPr>
        <w:t xml:space="preserve">, </w:t>
      </w:r>
      <w:r>
        <w:rPr>
          <w:rFonts w:ascii="Times New Roman" w:hAnsi="Times New Roman"/>
          <w:i/>
          <w:iCs/>
          <w:sz w:val="20"/>
        </w:rPr>
        <w:t>Det vedervärdiga videovåldet. Att upprätta moralisk ordning</w:t>
      </w:r>
      <w:r>
        <w:rPr>
          <w:rFonts w:ascii="Times New Roman" w:hAnsi="Times New Roman"/>
          <w:sz w:val="20"/>
        </w:rPr>
        <w:t>. Uppsala 1997.</w:t>
      </w:r>
      <w:r>
        <w:rPr>
          <w:sz w:val="20"/>
        </w:rPr>
        <w:t xml:space="preserve"> </w:t>
      </w:r>
      <w:r>
        <w:rPr>
          <w:rFonts w:ascii="Times New Roman" w:hAnsi="Times New Roman"/>
          <w:sz w:val="20"/>
        </w:rPr>
        <w:t>Sociologen Mats Franzén 1992, s 33 menar att borgerlighetens ”höga kultur” sökte civilisera och disciplinera den folkliga ”låga kulture</w:t>
      </w:r>
      <w:r>
        <w:rPr>
          <w:rFonts w:ascii="Times New Roman" w:hAnsi="Times New Roman"/>
          <w:sz w:val="20"/>
        </w:rPr>
        <w:t xml:space="preserve">n”. Disciplineringsförsöken medförde att den folkliga kulturen betraktades som vulgär. Se även B Horgby 1993, s 329. </w:t>
      </w:r>
    </w:p>
  </w:footnote>
  <w:footnote w:id="18">
    <w:p w14:paraId="1C735BB0" w14:textId="77777777" w:rsidR="00000000" w:rsidRDefault="00BC3002">
      <w:pPr>
        <w:pStyle w:val="Fotnotstext"/>
        <w:rPr>
          <w:lang w:val="en-GB"/>
        </w:rPr>
      </w:pPr>
      <w:r>
        <w:rPr>
          <w:rStyle w:val="Fotnotsreferens"/>
        </w:rPr>
        <w:footnoteRef/>
      </w:r>
      <w:r>
        <w:rPr>
          <w:lang w:val="en-GB"/>
        </w:rPr>
        <w:t xml:space="preserve"> </w:t>
      </w:r>
      <w:r>
        <w:rPr>
          <w:snapToGrid/>
          <w:lang w:val="en-GB"/>
        </w:rPr>
        <w:t>U Boethius 1989, s 25 ff, 34-49</w:t>
      </w:r>
    </w:p>
  </w:footnote>
  <w:footnote w:id="19">
    <w:p w14:paraId="1091348D" w14:textId="77777777" w:rsidR="00000000" w:rsidRDefault="00BC3002">
      <w:pPr>
        <w:pStyle w:val="Fotnotstext"/>
        <w:rPr>
          <w:lang w:val="en-GB"/>
        </w:rPr>
      </w:pPr>
      <w:r>
        <w:rPr>
          <w:rStyle w:val="Fotnotsreferens"/>
        </w:rPr>
        <w:footnoteRef/>
      </w:r>
      <w:r>
        <w:rPr>
          <w:lang w:val="sv-SE"/>
        </w:rPr>
        <w:t xml:space="preserve"> Ulf </w:t>
      </w:r>
      <w:proofErr w:type="spellStart"/>
      <w:r>
        <w:rPr>
          <w:lang w:val="sv-SE"/>
        </w:rPr>
        <w:t>Boethius</w:t>
      </w:r>
      <w:proofErr w:type="spellEnd"/>
      <w:r>
        <w:rPr>
          <w:lang w:val="sv-SE"/>
        </w:rPr>
        <w:t xml:space="preserve">, “Ungdomar, medier och moraliska </w:t>
      </w:r>
      <w:proofErr w:type="spellStart"/>
      <w:r>
        <w:rPr>
          <w:lang w:val="sv-SE"/>
        </w:rPr>
        <w:t>paniker</w:t>
      </w:r>
      <w:proofErr w:type="spellEnd"/>
      <w:r>
        <w:rPr>
          <w:lang w:val="sv-SE"/>
        </w:rPr>
        <w:t xml:space="preserve">”, i Jonas </w:t>
      </w:r>
      <w:proofErr w:type="spellStart"/>
      <w:r>
        <w:rPr>
          <w:lang w:val="sv-SE"/>
        </w:rPr>
        <w:t>Fornäs</w:t>
      </w:r>
      <w:proofErr w:type="spellEnd"/>
      <w:r>
        <w:rPr>
          <w:lang w:val="sv-SE"/>
        </w:rPr>
        <w:t xml:space="preserve">, Ulf </w:t>
      </w:r>
      <w:proofErr w:type="spellStart"/>
      <w:r>
        <w:rPr>
          <w:lang w:val="sv-SE"/>
        </w:rPr>
        <w:t>Boethius</w:t>
      </w:r>
      <w:proofErr w:type="spellEnd"/>
      <w:r>
        <w:rPr>
          <w:lang w:val="sv-SE"/>
        </w:rPr>
        <w:t xml:space="preserve"> &amp; Bo Reimer, </w:t>
      </w:r>
      <w:r>
        <w:rPr>
          <w:i/>
          <w:iCs/>
          <w:lang w:val="sv-SE"/>
        </w:rPr>
        <w:t>Ungd</w:t>
      </w:r>
      <w:r>
        <w:rPr>
          <w:i/>
          <w:iCs/>
          <w:lang w:val="sv-SE"/>
        </w:rPr>
        <w:t>omar i skilda sfärer</w:t>
      </w:r>
      <w:r>
        <w:rPr>
          <w:lang w:val="sv-SE"/>
        </w:rPr>
        <w:t xml:space="preserve">. FUS-rapport nr 5. </w:t>
      </w:r>
      <w:proofErr w:type="spellStart"/>
      <w:r>
        <w:rPr>
          <w:lang w:val="sv-SE"/>
        </w:rPr>
        <w:t>Stockhom</w:t>
      </w:r>
      <w:proofErr w:type="spellEnd"/>
      <w:r>
        <w:rPr>
          <w:lang w:val="sv-SE"/>
        </w:rPr>
        <w:t>/</w:t>
      </w:r>
      <w:proofErr w:type="spellStart"/>
      <w:r>
        <w:rPr>
          <w:lang w:val="sv-SE"/>
        </w:rPr>
        <w:t>Stehag</w:t>
      </w:r>
      <w:proofErr w:type="spellEnd"/>
      <w:r>
        <w:rPr>
          <w:lang w:val="sv-SE"/>
        </w:rPr>
        <w:t xml:space="preserve"> 1993, s </w:t>
      </w:r>
      <w:proofErr w:type="gramStart"/>
      <w:r>
        <w:rPr>
          <w:lang w:val="sv-SE"/>
        </w:rPr>
        <w:t>264-69</w:t>
      </w:r>
      <w:proofErr w:type="gramEnd"/>
      <w:r>
        <w:rPr>
          <w:lang w:val="sv-SE"/>
        </w:rPr>
        <w:t xml:space="preserve">, citat s 265 och 1989, s 29 </w:t>
      </w:r>
      <w:proofErr w:type="spellStart"/>
      <w:r>
        <w:rPr>
          <w:lang w:val="sv-SE"/>
        </w:rPr>
        <w:t>ff</w:t>
      </w:r>
      <w:proofErr w:type="spellEnd"/>
      <w:r>
        <w:rPr>
          <w:lang w:val="sv-SE"/>
        </w:rPr>
        <w:t xml:space="preserve">, s 49-56 och kapitel III. </w:t>
      </w:r>
      <w:proofErr w:type="spellStart"/>
      <w:r>
        <w:rPr>
          <w:lang w:val="en-GB"/>
        </w:rPr>
        <w:t>Även</w:t>
      </w:r>
      <w:proofErr w:type="spellEnd"/>
      <w:r>
        <w:rPr>
          <w:lang w:val="en-GB"/>
        </w:rPr>
        <w:t xml:space="preserve"> T Gustafsson &amp; K </w:t>
      </w:r>
      <w:proofErr w:type="spellStart"/>
      <w:r>
        <w:rPr>
          <w:lang w:val="en-GB"/>
        </w:rPr>
        <w:t>Arnberg</w:t>
      </w:r>
      <w:proofErr w:type="spellEnd"/>
      <w:r>
        <w:rPr>
          <w:lang w:val="en-GB"/>
        </w:rPr>
        <w:t xml:space="preserve"> 2012, s 22 ff, </w:t>
      </w:r>
      <w:proofErr w:type="spellStart"/>
      <w:r>
        <w:rPr>
          <w:lang w:val="en-GB"/>
        </w:rPr>
        <w:t>jfr</w:t>
      </w:r>
      <w:proofErr w:type="spellEnd"/>
      <w:r>
        <w:rPr>
          <w:lang w:val="en-GB"/>
        </w:rPr>
        <w:t xml:space="preserve"> s 32-33.</w:t>
      </w:r>
    </w:p>
  </w:footnote>
  <w:footnote w:id="20">
    <w:p w14:paraId="2D99AEE2" w14:textId="77777777" w:rsidR="00000000" w:rsidRDefault="00BC3002">
      <w:pPr>
        <w:pStyle w:val="Fotnotstext"/>
        <w:rPr>
          <w:lang w:val="sv-SE"/>
        </w:rPr>
      </w:pPr>
      <w:r>
        <w:rPr>
          <w:rStyle w:val="Fotnotsreferens"/>
        </w:rPr>
        <w:footnoteRef/>
      </w:r>
      <w:r>
        <w:rPr>
          <w:lang w:val="sv-SE"/>
        </w:rPr>
        <w:t xml:space="preserve"> Björn Horgby, ”Staten och ’de förvildade barnen’ </w:t>
      </w:r>
      <w:proofErr w:type="gramStart"/>
      <w:r>
        <w:rPr>
          <w:lang w:val="sv-SE"/>
        </w:rPr>
        <w:t>1870-1960</w:t>
      </w:r>
      <w:proofErr w:type="gramEnd"/>
      <w:r>
        <w:rPr>
          <w:lang w:val="sv-SE"/>
        </w:rPr>
        <w:t>. En studi</w:t>
      </w:r>
      <w:r>
        <w:rPr>
          <w:lang w:val="sv-SE"/>
        </w:rPr>
        <w:t xml:space="preserve">e av statlig barn- och ungdomsvårdspolitik”, i </w:t>
      </w:r>
      <w:proofErr w:type="spellStart"/>
      <w:r>
        <w:rPr>
          <w:i/>
          <w:iCs/>
          <w:lang w:val="sv-SE"/>
        </w:rPr>
        <w:t>Kronos</w:t>
      </w:r>
      <w:proofErr w:type="spellEnd"/>
      <w:r>
        <w:rPr>
          <w:lang w:val="sv-SE"/>
        </w:rPr>
        <w:t xml:space="preserve"> 1990b nr 2.</w:t>
      </w:r>
    </w:p>
  </w:footnote>
  <w:footnote w:id="21">
    <w:p w14:paraId="7BD6EDA3" w14:textId="77777777" w:rsidR="00000000" w:rsidRDefault="00BC3002">
      <w:pPr>
        <w:pStyle w:val="Fotnotstext"/>
        <w:rPr>
          <w:lang w:val="sv-SE"/>
        </w:rPr>
      </w:pPr>
      <w:r>
        <w:rPr>
          <w:rStyle w:val="Fotnotsreferens"/>
        </w:rPr>
        <w:footnoteRef/>
      </w:r>
      <w:r>
        <w:rPr>
          <w:lang w:val="sv-SE"/>
        </w:rPr>
        <w:t xml:space="preserve"> U </w:t>
      </w:r>
      <w:proofErr w:type="spellStart"/>
      <w:r>
        <w:rPr>
          <w:lang w:val="sv-SE"/>
        </w:rPr>
        <w:t>Boethius</w:t>
      </w:r>
      <w:proofErr w:type="spellEnd"/>
      <w:r>
        <w:rPr>
          <w:lang w:val="sv-SE"/>
        </w:rPr>
        <w:t xml:space="preserve"> 1989 och 1993</w:t>
      </w:r>
    </w:p>
  </w:footnote>
  <w:footnote w:id="22">
    <w:p w14:paraId="7F6788BD" w14:textId="77777777" w:rsidR="00000000" w:rsidRDefault="00BC3002">
      <w:pPr>
        <w:pStyle w:val="Fotnotstext"/>
        <w:rPr>
          <w:lang w:val="en-GB"/>
        </w:rPr>
      </w:pPr>
      <w:r>
        <w:rPr>
          <w:rStyle w:val="Fotnotsreferens"/>
        </w:rPr>
        <w:footnoteRef/>
      </w:r>
      <w:r>
        <w:rPr>
          <w:lang w:val="en-GB"/>
        </w:rPr>
        <w:t xml:space="preserve"> T Gustafsson &amp; K </w:t>
      </w:r>
      <w:proofErr w:type="spellStart"/>
      <w:r>
        <w:rPr>
          <w:lang w:val="en-GB"/>
        </w:rPr>
        <w:t>Arnberg</w:t>
      </w:r>
      <w:proofErr w:type="spellEnd"/>
      <w:r>
        <w:rPr>
          <w:lang w:val="en-GB"/>
        </w:rPr>
        <w:t xml:space="preserve"> 2012, s 48-66, </w:t>
      </w:r>
      <w:proofErr w:type="spellStart"/>
      <w:r>
        <w:rPr>
          <w:lang w:val="en-GB"/>
        </w:rPr>
        <w:t>jfr</w:t>
      </w:r>
      <w:proofErr w:type="spellEnd"/>
      <w:r>
        <w:rPr>
          <w:lang w:val="en-GB"/>
        </w:rPr>
        <w:t xml:space="preserve"> s 89 ff.</w:t>
      </w:r>
    </w:p>
  </w:footnote>
  <w:footnote w:id="23">
    <w:p w14:paraId="41F5A4AF" w14:textId="77777777" w:rsidR="00000000" w:rsidRDefault="00BC3002">
      <w:pPr>
        <w:pStyle w:val="Fotnotstext"/>
        <w:rPr>
          <w:lang w:val="sv-SE"/>
        </w:rPr>
      </w:pPr>
      <w:r>
        <w:rPr>
          <w:rStyle w:val="Fotnotsreferens"/>
        </w:rPr>
        <w:footnoteRef/>
      </w:r>
      <w:r>
        <w:rPr>
          <w:lang w:val="sv-SE"/>
        </w:rPr>
        <w:t xml:space="preserve"> Citerat efter SOU 1945:22</w:t>
      </w:r>
    </w:p>
  </w:footnote>
  <w:footnote w:id="24">
    <w:p w14:paraId="07BBA851" w14:textId="77777777" w:rsidR="00000000" w:rsidRDefault="00BC3002">
      <w:pPr>
        <w:pStyle w:val="Fotnotstext"/>
        <w:rPr>
          <w:lang w:val="sv-SE"/>
        </w:rPr>
      </w:pPr>
      <w:r>
        <w:rPr>
          <w:rStyle w:val="Fotnotsreferens"/>
        </w:rPr>
        <w:footnoteRef/>
      </w:r>
      <w:r>
        <w:rPr>
          <w:lang w:val="sv-SE"/>
        </w:rPr>
        <w:t xml:space="preserve"> SOU 1945:22; se även Jonas Frykman &amp; Orvar Löfgren, </w:t>
      </w:r>
      <w:r>
        <w:rPr>
          <w:i/>
          <w:iCs/>
          <w:lang w:val="sv-SE"/>
        </w:rPr>
        <w:t>Modärna tider</w:t>
      </w:r>
      <w:r>
        <w:rPr>
          <w:lang w:val="sv-SE"/>
        </w:rPr>
        <w:t>. Malmö 1985,</w:t>
      </w:r>
      <w:r>
        <w:rPr>
          <w:lang w:val="sv-SE"/>
        </w:rPr>
        <w:t xml:space="preserve"> s 75, 77. Även Björn Horgby, </w:t>
      </w:r>
      <w:r>
        <w:rPr>
          <w:i/>
          <w:iCs/>
          <w:lang w:val="sv-SE"/>
        </w:rPr>
        <w:t xml:space="preserve">Rock och uppror. Amerikansk, brittisk och svensk rockkultur </w:t>
      </w:r>
      <w:proofErr w:type="gramStart"/>
      <w:r>
        <w:rPr>
          <w:i/>
          <w:iCs/>
          <w:lang w:val="sv-SE"/>
        </w:rPr>
        <w:t>1955-69</w:t>
      </w:r>
      <w:proofErr w:type="gramEnd"/>
      <w:r>
        <w:rPr>
          <w:lang w:val="sv-SE"/>
        </w:rPr>
        <w:t>. Stockholm 2007, s 254</w:t>
      </w:r>
    </w:p>
  </w:footnote>
  <w:footnote w:id="25">
    <w:p w14:paraId="4534DDA1" w14:textId="77777777" w:rsidR="00000000" w:rsidRDefault="00BC3002">
      <w:pPr>
        <w:pStyle w:val="Fotnotstext"/>
        <w:rPr>
          <w:lang w:val="sv-SE"/>
        </w:rPr>
      </w:pPr>
      <w:r>
        <w:rPr>
          <w:rStyle w:val="Fotnotsreferens"/>
        </w:rPr>
        <w:footnoteRef/>
      </w:r>
      <w:r>
        <w:rPr>
          <w:lang w:val="sv-SE"/>
        </w:rPr>
        <w:t xml:space="preserve"> Eva Blomberg, ”Filmeländet – att utarbeta en filmpolitik”, i M Jönsson &amp; P </w:t>
      </w:r>
      <w:proofErr w:type="spellStart"/>
      <w:r>
        <w:rPr>
          <w:lang w:val="sv-SE"/>
        </w:rPr>
        <w:t>Snickars</w:t>
      </w:r>
      <w:proofErr w:type="spellEnd"/>
      <w:r>
        <w:rPr>
          <w:lang w:val="sv-SE"/>
        </w:rPr>
        <w:t xml:space="preserve"> 2007, s </w:t>
      </w:r>
      <w:proofErr w:type="gramStart"/>
      <w:r>
        <w:rPr>
          <w:lang w:val="sv-SE"/>
        </w:rPr>
        <w:t>104-05</w:t>
      </w:r>
      <w:proofErr w:type="gramEnd"/>
    </w:p>
  </w:footnote>
  <w:footnote w:id="26">
    <w:p w14:paraId="182737CB" w14:textId="77777777" w:rsidR="00000000" w:rsidRDefault="00BC3002">
      <w:pPr>
        <w:pStyle w:val="Fotnotstext"/>
        <w:rPr>
          <w:lang w:val="sv-SE"/>
        </w:rPr>
      </w:pPr>
      <w:r>
        <w:rPr>
          <w:rStyle w:val="Fotnotsreferens"/>
        </w:rPr>
        <w:footnoteRef/>
      </w:r>
      <w:r>
        <w:rPr>
          <w:lang w:val="sv-SE"/>
        </w:rPr>
        <w:t xml:space="preserve"> Svenska Filminstitutets VD Harry</w:t>
      </w:r>
      <w:r>
        <w:rPr>
          <w:lang w:val="sv-SE"/>
        </w:rPr>
        <w:t xml:space="preserve"> Schein tillhörde dem som under 1960-talet brännmärkte Åsa-Nisse filmerna.</w:t>
      </w:r>
    </w:p>
  </w:footnote>
  <w:footnote w:id="27">
    <w:p w14:paraId="3394131B" w14:textId="77777777" w:rsidR="00000000" w:rsidRDefault="00BC3002">
      <w:pPr>
        <w:pStyle w:val="Fotnotstext"/>
        <w:rPr>
          <w:lang w:val="sv-SE"/>
        </w:rPr>
      </w:pPr>
      <w:r>
        <w:rPr>
          <w:rStyle w:val="Fotnotsreferens"/>
        </w:rPr>
        <w:footnoteRef/>
      </w:r>
      <w:r>
        <w:rPr>
          <w:lang w:val="sv-SE"/>
        </w:rPr>
        <w:t xml:space="preserve"> J Frykman 1988</w:t>
      </w:r>
    </w:p>
  </w:footnote>
  <w:footnote w:id="28">
    <w:p w14:paraId="52ADBAAA" w14:textId="77777777" w:rsidR="00000000" w:rsidRDefault="00BC3002">
      <w:pPr>
        <w:pStyle w:val="Fotnotstext"/>
        <w:rPr>
          <w:lang w:val="en-GB"/>
        </w:rPr>
      </w:pPr>
      <w:r>
        <w:rPr>
          <w:rStyle w:val="Fotnotsreferens"/>
        </w:rPr>
        <w:footnoteRef/>
      </w:r>
      <w:r>
        <w:rPr>
          <w:lang w:val="sv-SE"/>
        </w:rPr>
        <w:t xml:space="preserve"> Sten Berglind, </w:t>
      </w:r>
      <w:r>
        <w:rPr>
          <w:i/>
          <w:iCs/>
          <w:lang w:val="sv-SE"/>
        </w:rPr>
        <w:t>Raggare. Rebellerna som skakade Sverige</w:t>
      </w:r>
      <w:r>
        <w:rPr>
          <w:lang w:val="sv-SE"/>
        </w:rPr>
        <w:t xml:space="preserve">. </w:t>
      </w:r>
      <w:r>
        <w:rPr>
          <w:lang w:val="en-GB"/>
        </w:rPr>
        <w:t>Stockholm 2005, s 7, 11, 35-40, 48-49, 52, 113; B Horgby 2007, s 271-73.</w:t>
      </w:r>
    </w:p>
  </w:footnote>
  <w:footnote w:id="29">
    <w:p w14:paraId="6DDEED03" w14:textId="77777777" w:rsidR="00000000" w:rsidRDefault="00BC3002">
      <w:pPr>
        <w:pStyle w:val="Fotnotstext"/>
        <w:rPr>
          <w:lang w:val="sv-SE"/>
        </w:rPr>
      </w:pPr>
      <w:r>
        <w:rPr>
          <w:rStyle w:val="Fotnotsreferens"/>
        </w:rPr>
        <w:footnoteRef/>
      </w:r>
      <w:r>
        <w:rPr>
          <w:lang w:val="sv-SE"/>
        </w:rPr>
        <w:t xml:space="preserve"> </w:t>
      </w:r>
      <w:r>
        <w:rPr>
          <w:i/>
          <w:iCs/>
          <w:lang w:val="sv-SE"/>
        </w:rPr>
        <w:t>Bildjournalen</w:t>
      </w:r>
      <w:r>
        <w:rPr>
          <w:lang w:val="sv-SE"/>
        </w:rPr>
        <w:t xml:space="preserve"> 1965 nr 6; se äve</w:t>
      </w:r>
      <w:r>
        <w:rPr>
          <w:lang w:val="sv-SE"/>
        </w:rPr>
        <w:t xml:space="preserve">n B Horgby 2007, s </w:t>
      </w:r>
      <w:proofErr w:type="gramStart"/>
      <w:r>
        <w:rPr>
          <w:lang w:val="sv-SE"/>
        </w:rPr>
        <w:t>274-76</w:t>
      </w:r>
      <w:proofErr w:type="gramEnd"/>
    </w:p>
  </w:footnote>
  <w:footnote w:id="30">
    <w:p w14:paraId="1C378374" w14:textId="77777777" w:rsidR="00000000" w:rsidRDefault="00BC3002">
      <w:pPr>
        <w:pStyle w:val="Fotnotstext"/>
        <w:rPr>
          <w:lang w:val="en-GB"/>
        </w:rPr>
      </w:pPr>
      <w:r>
        <w:rPr>
          <w:rStyle w:val="Fotnotsreferens"/>
        </w:rPr>
        <w:footnoteRef/>
      </w:r>
      <w:r>
        <w:rPr>
          <w:lang w:val="en-GB"/>
        </w:rPr>
        <w:t xml:space="preserve"> Anna Nekola</w:t>
      </w:r>
      <w:proofErr w:type="gramStart"/>
      <w:r>
        <w:rPr>
          <w:lang w:val="en-GB"/>
        </w:rPr>
        <w:t>, ”</w:t>
      </w:r>
      <w:proofErr w:type="gramEnd"/>
      <w:r>
        <w:rPr>
          <w:lang w:val="en-GB"/>
        </w:rPr>
        <w:t xml:space="preserve">’More than just a music’: conservative Christian anti-rock discourse and the U.S. cultural wars”, </w:t>
      </w:r>
      <w:proofErr w:type="spellStart"/>
      <w:r>
        <w:rPr>
          <w:lang w:val="en-GB"/>
        </w:rPr>
        <w:t>i</w:t>
      </w:r>
      <w:proofErr w:type="spellEnd"/>
      <w:r>
        <w:rPr>
          <w:lang w:val="en-GB"/>
        </w:rPr>
        <w:t xml:space="preserve"> </w:t>
      </w:r>
      <w:r>
        <w:rPr>
          <w:i/>
          <w:iCs/>
          <w:lang w:val="en-GB"/>
        </w:rPr>
        <w:t>Popular Music</w:t>
      </w:r>
      <w:r>
        <w:rPr>
          <w:lang w:val="en-GB"/>
        </w:rPr>
        <w:t xml:space="preserve"> 2013, nr 3</w:t>
      </w:r>
    </w:p>
  </w:footnote>
  <w:footnote w:id="31">
    <w:p w14:paraId="18BABA42" w14:textId="77777777" w:rsidR="00000000" w:rsidRDefault="00BC3002">
      <w:pPr>
        <w:pStyle w:val="Fotnotstext"/>
        <w:rPr>
          <w:lang w:val="sv-SE"/>
        </w:rPr>
      </w:pPr>
      <w:r>
        <w:rPr>
          <w:rStyle w:val="Fotnotsreferens"/>
        </w:rPr>
        <w:footnoteRef/>
      </w:r>
      <w:r>
        <w:rPr>
          <w:lang w:val="sv-SE"/>
        </w:rPr>
        <w:t xml:space="preserve"> Ronny Ambjörnsson, </w:t>
      </w:r>
      <w:r>
        <w:rPr>
          <w:i/>
          <w:iCs/>
          <w:lang w:val="sv-SE"/>
        </w:rPr>
        <w:t>Den skötsamme arbetaren</w:t>
      </w:r>
      <w:r>
        <w:rPr>
          <w:lang w:val="sv-SE"/>
        </w:rPr>
        <w:t>. Stockholm 1988; B Horgby 1993 och 2012, kap</w:t>
      </w:r>
      <w:r>
        <w:rPr>
          <w:lang w:val="sv-SE"/>
        </w:rPr>
        <w:t xml:space="preserve"> 11, särskilt s 326. I det senare verket behandlar jag forskningsläget om skötsamhetsbegreppet, se 324 ff. Här tar jag också upp en utförligare diskussion om begreppet.</w:t>
      </w:r>
    </w:p>
  </w:footnote>
  <w:footnote w:id="32">
    <w:p w14:paraId="4E882388" w14:textId="77777777" w:rsidR="00000000" w:rsidRDefault="00BC3002">
      <w:pPr>
        <w:pStyle w:val="Fotnotstext"/>
        <w:rPr>
          <w:lang w:val="sv-SE"/>
        </w:rPr>
      </w:pPr>
      <w:r>
        <w:rPr>
          <w:rStyle w:val="Fotnotsreferens"/>
        </w:rPr>
        <w:footnoteRef/>
      </w:r>
      <w:r>
        <w:rPr>
          <w:lang w:val="sv-SE"/>
        </w:rPr>
        <w:t xml:space="preserve"> Olle Sahlström, </w:t>
      </w:r>
      <w:r>
        <w:rPr>
          <w:i/>
          <w:iCs/>
          <w:lang w:val="sv-SE"/>
        </w:rPr>
        <w:t xml:space="preserve">En trilogi om arbetarrörelsen. Borgen. </w:t>
      </w:r>
      <w:r>
        <w:rPr>
          <w:lang w:val="sv-SE"/>
        </w:rPr>
        <w:t xml:space="preserve">Stockholm 2003, s </w:t>
      </w:r>
      <w:proofErr w:type="gramStart"/>
      <w:r>
        <w:rPr>
          <w:lang w:val="sv-SE"/>
        </w:rPr>
        <w:t>39-48</w:t>
      </w:r>
      <w:proofErr w:type="gramEnd"/>
      <w:r>
        <w:rPr>
          <w:lang w:val="sv-SE"/>
        </w:rPr>
        <w:t>; Marie</w:t>
      </w:r>
      <w:r>
        <w:rPr>
          <w:lang w:val="sv-SE"/>
        </w:rPr>
        <w:t xml:space="preserve"> Hedström &amp; Olle Josephson, ”Agitationsbroschyrerna 1881-1909”, i Kurt Johannesson red, </w:t>
      </w:r>
      <w:r>
        <w:rPr>
          <w:i/>
          <w:iCs/>
          <w:lang w:val="sv-SE"/>
        </w:rPr>
        <w:t>Agitatorerna.</w:t>
      </w:r>
      <w:r>
        <w:rPr>
          <w:lang w:val="sv-SE"/>
        </w:rPr>
        <w:t xml:space="preserve"> Stockholm 1996, s </w:t>
      </w:r>
      <w:proofErr w:type="gramStart"/>
      <w:r>
        <w:rPr>
          <w:lang w:val="sv-SE"/>
        </w:rPr>
        <w:t>130-32</w:t>
      </w:r>
      <w:proofErr w:type="gramEnd"/>
      <w:r>
        <w:rPr>
          <w:lang w:val="sv-SE"/>
        </w:rPr>
        <w:t xml:space="preserve"> hävdar att arbetarrörelsens språk genomgick en sekularisering, standardisering och distansering. Dessa begrepp går också att härl</w:t>
      </w:r>
      <w:r>
        <w:rPr>
          <w:lang w:val="sv-SE"/>
        </w:rPr>
        <w:t>eda ur rationalitetsbegreppet.</w:t>
      </w:r>
    </w:p>
  </w:footnote>
  <w:footnote w:id="33">
    <w:p w14:paraId="57C80307" w14:textId="77777777" w:rsidR="00000000" w:rsidRDefault="00BC3002">
      <w:pPr>
        <w:pStyle w:val="Fotnotstext"/>
      </w:pPr>
      <w:r>
        <w:rPr>
          <w:rStyle w:val="Fotnotsreferens"/>
        </w:rPr>
        <w:footnoteRef/>
      </w:r>
      <w:r>
        <w:t xml:space="preserve"> B Horgby 2012, s 333-44</w:t>
      </w:r>
    </w:p>
  </w:footnote>
  <w:footnote w:id="34">
    <w:p w14:paraId="2F290F97" w14:textId="77777777" w:rsidR="00000000" w:rsidRDefault="00BC3002">
      <w:pPr>
        <w:pStyle w:val="Fotnotstext"/>
        <w:rPr>
          <w:lang w:val="sv-SE"/>
        </w:rPr>
      </w:pPr>
      <w:r>
        <w:rPr>
          <w:rStyle w:val="Fotnotsreferens"/>
        </w:rPr>
        <w:footnoteRef/>
      </w:r>
      <w:r>
        <w:rPr>
          <w:lang w:val="sv-SE"/>
        </w:rPr>
        <w:t xml:space="preserve"> Norrköpings föreningsarkiv, Norrköpings kommunistiska arbetarkommun, Norrköpings vänsterkommun, Mötesprotokoll 13/12 § 5 1917.</w:t>
      </w:r>
    </w:p>
  </w:footnote>
  <w:footnote w:id="35">
    <w:p w14:paraId="5547EAD9" w14:textId="77777777" w:rsidR="00000000" w:rsidRDefault="00BC3002">
      <w:pPr>
        <w:pStyle w:val="Fotnotstext"/>
        <w:rPr>
          <w:lang w:val="sv-SE"/>
        </w:rPr>
      </w:pPr>
      <w:r>
        <w:rPr>
          <w:rStyle w:val="Fotnotsreferens"/>
        </w:rPr>
        <w:footnoteRef/>
      </w:r>
      <w:r>
        <w:rPr>
          <w:lang w:val="sv-SE"/>
        </w:rPr>
        <w:t xml:space="preserve"> Ivar Lo-Johansson, </w:t>
      </w:r>
      <w:r>
        <w:rPr>
          <w:i/>
          <w:iCs/>
          <w:lang w:val="sv-SE"/>
        </w:rPr>
        <w:t>Jag tvivlar på idrotten.</w:t>
      </w:r>
      <w:r>
        <w:rPr>
          <w:lang w:val="sv-SE"/>
        </w:rPr>
        <w:t xml:space="preserve"> Stockholm 1931</w:t>
      </w:r>
    </w:p>
  </w:footnote>
  <w:footnote w:id="36">
    <w:p w14:paraId="43095C40" w14:textId="77777777" w:rsidR="00000000" w:rsidRDefault="00BC3002">
      <w:pPr>
        <w:pStyle w:val="Fotnotstext"/>
        <w:rPr>
          <w:lang w:val="sv-SE"/>
        </w:rPr>
      </w:pPr>
      <w:r>
        <w:rPr>
          <w:rStyle w:val="Fotnotsreferens"/>
        </w:rPr>
        <w:footnoteRef/>
      </w:r>
      <w:r>
        <w:rPr>
          <w:lang w:val="sv-SE"/>
        </w:rPr>
        <w:t xml:space="preserve"> Landsor</w:t>
      </w:r>
      <w:r>
        <w:rPr>
          <w:lang w:val="sv-SE"/>
        </w:rPr>
        <w:t>ganisationens protokoll 1922, s 3.</w:t>
      </w:r>
    </w:p>
  </w:footnote>
  <w:footnote w:id="37">
    <w:p w14:paraId="5924DFC9" w14:textId="77777777" w:rsidR="00000000" w:rsidRDefault="00BC3002">
      <w:pPr>
        <w:pStyle w:val="Fotnotstext"/>
        <w:rPr>
          <w:lang w:val="sv-SE"/>
        </w:rPr>
      </w:pPr>
      <w:r>
        <w:rPr>
          <w:rStyle w:val="Fotnotsreferens"/>
        </w:rPr>
        <w:footnoteRef/>
      </w:r>
      <w:r>
        <w:rPr>
          <w:lang w:val="sv-SE"/>
        </w:rPr>
        <w:t xml:space="preserve"> Peder Alex, </w:t>
      </w:r>
      <w:r>
        <w:rPr>
          <w:i/>
          <w:iCs/>
          <w:lang w:val="sv-SE"/>
        </w:rPr>
        <w:t xml:space="preserve">Den rationella konsumenten. KF som folkuppfostrare </w:t>
      </w:r>
      <w:proofErr w:type="gramStart"/>
      <w:r>
        <w:rPr>
          <w:i/>
          <w:iCs/>
          <w:lang w:val="sv-SE"/>
        </w:rPr>
        <w:t>1899-1939</w:t>
      </w:r>
      <w:proofErr w:type="gramEnd"/>
      <w:r>
        <w:rPr>
          <w:i/>
          <w:iCs/>
          <w:lang w:val="sv-SE"/>
        </w:rPr>
        <w:t>.</w:t>
      </w:r>
      <w:r>
        <w:rPr>
          <w:lang w:val="sv-SE"/>
        </w:rPr>
        <w:t xml:space="preserve"> Stockholm 1994</w:t>
      </w:r>
    </w:p>
  </w:footnote>
  <w:footnote w:id="38">
    <w:p w14:paraId="76AA085E" w14:textId="77777777" w:rsidR="00000000" w:rsidRDefault="00BC3002">
      <w:pPr>
        <w:pStyle w:val="Fotnotstext"/>
        <w:rPr>
          <w:lang w:val="sv-SE"/>
        </w:rPr>
      </w:pPr>
      <w:r>
        <w:rPr>
          <w:rStyle w:val="Fotnotsreferens"/>
        </w:rPr>
        <w:footnoteRef/>
      </w:r>
      <w:r>
        <w:rPr>
          <w:lang w:val="sv-SE"/>
        </w:rPr>
        <w:t xml:space="preserve"> Om arbetarrörelsenätverket, se till exempel B Horgby 2012, s 369 </w:t>
      </w:r>
    </w:p>
  </w:footnote>
  <w:footnote w:id="39">
    <w:p w14:paraId="741002FE" w14:textId="77777777" w:rsidR="00000000" w:rsidRDefault="00BC3002">
      <w:pPr>
        <w:pStyle w:val="Fotnotstext"/>
        <w:rPr>
          <w:lang w:val="sv-SE"/>
        </w:rPr>
      </w:pPr>
      <w:r>
        <w:rPr>
          <w:rStyle w:val="Fotnotsreferens"/>
        </w:rPr>
        <w:footnoteRef/>
      </w:r>
      <w:r>
        <w:rPr>
          <w:lang w:val="sv-SE"/>
        </w:rPr>
        <w:t xml:space="preserve"> Gerhard A Ritter, “</w:t>
      </w:r>
      <w:proofErr w:type="spellStart"/>
      <w:r>
        <w:rPr>
          <w:lang w:val="sv-SE"/>
        </w:rPr>
        <w:t>Workers</w:t>
      </w:r>
      <w:proofErr w:type="spellEnd"/>
      <w:r>
        <w:rPr>
          <w:lang w:val="sv-SE"/>
        </w:rPr>
        <w:t xml:space="preserve">’ Culture in Imperial </w:t>
      </w:r>
      <w:proofErr w:type="spellStart"/>
      <w:r>
        <w:rPr>
          <w:lang w:val="sv-SE"/>
        </w:rPr>
        <w:t>Germany</w:t>
      </w:r>
      <w:proofErr w:type="spellEnd"/>
      <w:r>
        <w:rPr>
          <w:lang w:val="sv-SE"/>
        </w:rPr>
        <w:t>: Pro</w:t>
      </w:r>
      <w:r>
        <w:rPr>
          <w:lang w:val="sv-SE"/>
        </w:rPr>
        <w:t xml:space="preserve">blems and Points of </w:t>
      </w:r>
      <w:proofErr w:type="spellStart"/>
      <w:r>
        <w:rPr>
          <w:lang w:val="sv-SE"/>
        </w:rPr>
        <w:t>Departure</w:t>
      </w:r>
      <w:proofErr w:type="spellEnd"/>
      <w:r>
        <w:rPr>
          <w:lang w:val="sv-SE"/>
        </w:rPr>
        <w:t xml:space="preserve"> for Research”, i </w:t>
      </w:r>
      <w:r>
        <w:rPr>
          <w:i/>
          <w:iCs/>
          <w:lang w:val="sv-SE"/>
        </w:rPr>
        <w:t>Journal of Contemporary History</w:t>
      </w:r>
      <w:r>
        <w:rPr>
          <w:lang w:val="sv-SE"/>
        </w:rPr>
        <w:t xml:space="preserve"> 1978, nr 13, s 176 menar att den tyska arbetarklassen inte läste den litteratur som arbetarrörelsen önskade. Även M Jönsson &amp; P </w:t>
      </w:r>
      <w:proofErr w:type="spellStart"/>
      <w:r>
        <w:rPr>
          <w:lang w:val="sv-SE"/>
        </w:rPr>
        <w:t>Snickars</w:t>
      </w:r>
      <w:proofErr w:type="spellEnd"/>
      <w:r>
        <w:rPr>
          <w:lang w:val="sv-SE"/>
        </w:rPr>
        <w:t xml:space="preserve"> 2007, s 25; och U </w:t>
      </w:r>
      <w:proofErr w:type="spellStart"/>
      <w:r>
        <w:rPr>
          <w:lang w:val="sv-SE"/>
        </w:rPr>
        <w:t>Boethius</w:t>
      </w:r>
      <w:proofErr w:type="spellEnd"/>
      <w:r>
        <w:rPr>
          <w:lang w:val="sv-SE"/>
        </w:rPr>
        <w:t xml:space="preserve"> 1989, s 154 f</w:t>
      </w:r>
      <w:r>
        <w:rPr>
          <w:lang w:val="sv-SE"/>
        </w:rPr>
        <w:t>f.</w:t>
      </w:r>
    </w:p>
  </w:footnote>
  <w:footnote w:id="40">
    <w:p w14:paraId="254FCC6D" w14:textId="77777777" w:rsidR="00000000" w:rsidRDefault="00BC3002">
      <w:pPr>
        <w:pStyle w:val="Fotnotstext"/>
        <w:rPr>
          <w:lang w:val="en-GB"/>
        </w:rPr>
      </w:pPr>
      <w:r>
        <w:rPr>
          <w:rStyle w:val="Fotnotsreferens"/>
        </w:rPr>
        <w:footnoteRef/>
      </w:r>
      <w:r>
        <w:t xml:space="preserve"> </w:t>
      </w:r>
      <w:r>
        <w:rPr>
          <w:lang w:val="en-GB"/>
        </w:rPr>
        <w:t>U Boethius 1989, s 124, 155 ff.</w:t>
      </w:r>
    </w:p>
  </w:footnote>
  <w:footnote w:id="41">
    <w:p w14:paraId="016238B5" w14:textId="77777777" w:rsidR="00000000" w:rsidRDefault="00BC3002">
      <w:pPr>
        <w:pStyle w:val="Fotnotstext"/>
        <w:rPr>
          <w:lang w:val="sv-SE"/>
        </w:rPr>
      </w:pPr>
      <w:r>
        <w:rPr>
          <w:rStyle w:val="Fotnotsreferens"/>
        </w:rPr>
        <w:footnoteRef/>
      </w:r>
      <w:r>
        <w:rPr>
          <w:lang w:val="sv-SE"/>
        </w:rPr>
        <w:t xml:space="preserve"> Särskilt i form av utgivning av kvalitetslitteratur i stora upplagor till lågt pris.</w:t>
      </w:r>
    </w:p>
  </w:footnote>
  <w:footnote w:id="42">
    <w:p w14:paraId="302639B1" w14:textId="77777777" w:rsidR="00000000" w:rsidRDefault="00BC3002">
      <w:pPr>
        <w:pStyle w:val="Fotnotstext"/>
        <w:rPr>
          <w:lang w:val="sv-SE"/>
        </w:rPr>
      </w:pPr>
      <w:r>
        <w:rPr>
          <w:rStyle w:val="Fotnotsreferens"/>
        </w:rPr>
        <w:footnoteRef/>
      </w:r>
      <w:r>
        <w:rPr>
          <w:lang w:val="sv-SE"/>
        </w:rPr>
        <w:t xml:space="preserve"> M Jönsson &amp; P </w:t>
      </w:r>
      <w:proofErr w:type="spellStart"/>
      <w:r>
        <w:rPr>
          <w:lang w:val="sv-SE"/>
        </w:rPr>
        <w:t>Snickars</w:t>
      </w:r>
      <w:proofErr w:type="spellEnd"/>
      <w:r>
        <w:rPr>
          <w:lang w:val="sv-SE"/>
        </w:rPr>
        <w:t xml:space="preserve"> 2007, s </w:t>
      </w:r>
      <w:proofErr w:type="gramStart"/>
      <w:r>
        <w:rPr>
          <w:lang w:val="sv-SE"/>
        </w:rPr>
        <w:t>25-35</w:t>
      </w:r>
      <w:proofErr w:type="gramEnd"/>
      <w:r>
        <w:rPr>
          <w:lang w:val="sv-SE"/>
        </w:rPr>
        <w:t>, E Blomberg 2007, s 104-22</w:t>
      </w:r>
    </w:p>
  </w:footnote>
  <w:footnote w:id="43">
    <w:p w14:paraId="45800F26" w14:textId="77777777" w:rsidR="00000000" w:rsidRDefault="00BC3002">
      <w:pPr>
        <w:pStyle w:val="Fotnotstext"/>
        <w:rPr>
          <w:lang w:val="sv-SE"/>
        </w:rPr>
      </w:pPr>
      <w:r>
        <w:rPr>
          <w:rStyle w:val="Fotnotsreferens"/>
        </w:rPr>
        <w:footnoteRef/>
      </w:r>
      <w:r>
        <w:rPr>
          <w:lang w:val="sv-SE"/>
        </w:rPr>
        <w:t xml:space="preserve"> Stefan </w:t>
      </w:r>
      <w:proofErr w:type="spellStart"/>
      <w:r>
        <w:rPr>
          <w:lang w:val="sv-SE"/>
        </w:rPr>
        <w:t>Backius</w:t>
      </w:r>
      <w:proofErr w:type="spellEnd"/>
      <w:r>
        <w:rPr>
          <w:lang w:val="sv-SE"/>
        </w:rPr>
        <w:t xml:space="preserve"> &amp; Henrik Nordvall, ”ABF och radikaliseringens våg</w:t>
      </w:r>
      <w:r>
        <w:rPr>
          <w:lang w:val="sv-SE"/>
        </w:rPr>
        <w:t xml:space="preserve">or”, i </w:t>
      </w:r>
      <w:r>
        <w:rPr>
          <w:i/>
          <w:iCs/>
          <w:lang w:val="sv-SE"/>
        </w:rPr>
        <w:t>Arbetarhistoria</w:t>
      </w:r>
      <w:r>
        <w:rPr>
          <w:lang w:val="sv-SE"/>
        </w:rPr>
        <w:t xml:space="preserve"> 2015 nr 2, s </w:t>
      </w:r>
      <w:proofErr w:type="gramStart"/>
      <w:r>
        <w:rPr>
          <w:lang w:val="sv-SE"/>
        </w:rPr>
        <w:t>32-37</w:t>
      </w:r>
      <w:proofErr w:type="gramEnd"/>
      <w:r>
        <w:rPr>
          <w:lang w:val="sv-SE"/>
        </w:rPr>
        <w:t xml:space="preserve">; se även Stefan </w:t>
      </w:r>
      <w:proofErr w:type="spellStart"/>
      <w:r>
        <w:rPr>
          <w:lang w:val="sv-SE"/>
        </w:rPr>
        <w:t>Backius</w:t>
      </w:r>
      <w:proofErr w:type="spellEnd"/>
      <w:r>
        <w:rPr>
          <w:lang w:val="sv-SE"/>
        </w:rPr>
        <w:t xml:space="preserve">, </w:t>
      </w:r>
      <w:r>
        <w:rPr>
          <w:i/>
          <w:iCs/>
          <w:lang w:val="sv-SE"/>
        </w:rPr>
        <w:t>Arbetare på scen. Amatörteater som politiskt verktyg</w:t>
      </w:r>
      <w:r>
        <w:rPr>
          <w:lang w:val="sv-SE"/>
        </w:rPr>
        <w:t>. Örebro 2011.</w:t>
      </w:r>
    </w:p>
  </w:footnote>
  <w:footnote w:id="44">
    <w:p w14:paraId="5CD1ED99" w14:textId="77777777" w:rsidR="00000000" w:rsidRDefault="00BC3002">
      <w:pPr>
        <w:pStyle w:val="Fotnotstext"/>
        <w:rPr>
          <w:lang w:val="sv-SE"/>
        </w:rPr>
      </w:pPr>
      <w:r>
        <w:rPr>
          <w:rStyle w:val="Fotnotsreferens"/>
        </w:rPr>
        <w:footnoteRef/>
      </w:r>
      <w:r>
        <w:rPr>
          <w:lang w:val="sv-SE"/>
        </w:rPr>
        <w:t xml:space="preserve"> Det visar bland annat några av ABFs hemsidor: se till exempel </w:t>
      </w:r>
      <w:hyperlink r:id="rId2" w:history="1">
        <w:r>
          <w:rPr>
            <w:rStyle w:val="Hyperlnk"/>
            <w:lang w:val="sv-SE"/>
          </w:rPr>
          <w:t>http://www.abf.se/Distrikt-och-avdelningar/ABF-Skane/ABF-Malmo/STARTA-EGEN-CIRKEL/Musik/DIY1/</w:t>
        </w:r>
        <w:r>
          <w:rPr>
            <w:rStyle w:val="Hyperlnk"/>
            <w:lang w:val="sv-SE"/>
          </w:rPr>
          <w:t>;</w:t>
        </w:r>
        <w:r>
          <w:rPr>
            <w:rStyle w:val="Hyperlnk"/>
            <w:lang w:val="sv-SE"/>
          </w:rPr>
          <w:t xml:space="preserve"> http://www.abf</w:t>
        </w:r>
        <w:r>
          <w:rPr>
            <w:rStyle w:val="Hyperlnk"/>
            <w:lang w:val="sv-SE"/>
          </w:rPr>
          <w:t>goteborg.org/index.php?option=com_content&amp;view=article&amp;id=646%3Arubrik&amp;Itemid=48</w:t>
        </w:r>
      </w:hyperlink>
      <w:r>
        <w:rPr>
          <w:lang w:val="sv-SE"/>
        </w:rPr>
        <w:t xml:space="preserve">; </w:t>
      </w:r>
      <w:hyperlink r:id="rId3" w:history="1">
        <w:r>
          <w:rPr>
            <w:rStyle w:val="Hyperlnk"/>
            <w:lang w:val="sv-SE"/>
          </w:rPr>
          <w:t>http://abfstockholm.se/socforum/evenemang/arbet</w:t>
        </w:r>
        <w:r>
          <w:rPr>
            <w:rStyle w:val="Hyperlnk"/>
            <w:lang w:val="sv-SE"/>
          </w:rPr>
          <w:t>arrorelsens-solidaritetsbegrepp-och-religionens-karleksbudskap</w:t>
        </w:r>
      </w:hyperlink>
      <w:r>
        <w:rPr>
          <w:lang w:val="sv-SE"/>
        </w:rPr>
        <w:t xml:space="preserve">; se även </w:t>
      </w:r>
      <w:hyperlink r:id="rId4" w:history="1">
        <w:r>
          <w:rPr>
            <w:rStyle w:val="Hyperlnk"/>
            <w:lang w:val="sv-SE"/>
          </w:rPr>
          <w:t>http://matteoni.blogspot.se/2010/09/arbetarrorelsens-guldalder-ar-over.html</w:t>
        </w:r>
      </w:hyperlink>
    </w:p>
  </w:footnote>
  <w:footnote w:id="45">
    <w:p w14:paraId="7C94DEFE" w14:textId="77777777" w:rsidR="00000000" w:rsidRDefault="00BC3002">
      <w:pPr>
        <w:pStyle w:val="Fotnotstext"/>
        <w:rPr>
          <w:lang w:val="sv-SE"/>
        </w:rPr>
      </w:pPr>
      <w:r>
        <w:rPr>
          <w:rStyle w:val="Fotnotsreferens"/>
        </w:rPr>
        <w:footnoteRef/>
      </w:r>
      <w:r>
        <w:rPr>
          <w:lang w:val="sv-SE"/>
        </w:rPr>
        <w:t xml:space="preserve"> Håkan Lahger</w:t>
      </w:r>
      <w:r>
        <w:rPr>
          <w:lang w:val="sv-SE"/>
        </w:rPr>
        <w:t xml:space="preserve">, </w:t>
      </w:r>
      <w:r>
        <w:rPr>
          <w:i/>
          <w:iCs/>
          <w:lang w:val="sv-SE"/>
        </w:rPr>
        <w:t>Proggen. Musikrörelsens uppgång och fall</w:t>
      </w:r>
      <w:r>
        <w:rPr>
          <w:lang w:val="sv-SE"/>
        </w:rPr>
        <w:t>. Stockholm 1999</w:t>
      </w:r>
    </w:p>
  </w:footnote>
  <w:footnote w:id="46">
    <w:p w14:paraId="763BC35C" w14:textId="77777777" w:rsidR="00000000" w:rsidRDefault="00BC3002">
      <w:pPr>
        <w:pStyle w:val="Fotnotstext"/>
        <w:rPr>
          <w:lang w:val="en-GB"/>
        </w:rPr>
      </w:pPr>
      <w:r>
        <w:rPr>
          <w:rStyle w:val="Fotnotsreferens"/>
        </w:rPr>
        <w:footnoteRef/>
      </w:r>
      <w:r>
        <w:rPr>
          <w:lang w:val="en-GB"/>
        </w:rPr>
        <w:t xml:space="preserve"> B Horgby 2007, s 288-89, 295-97</w:t>
      </w:r>
    </w:p>
  </w:footnote>
  <w:footnote w:id="47">
    <w:p w14:paraId="6DC2A1D2" w14:textId="77777777" w:rsidR="00000000" w:rsidRDefault="00BC3002">
      <w:pPr>
        <w:pStyle w:val="Fotnotstext"/>
        <w:rPr>
          <w:lang w:val="sv-SE"/>
        </w:rPr>
      </w:pPr>
      <w:r>
        <w:rPr>
          <w:rStyle w:val="Fotnotsreferens"/>
        </w:rPr>
        <w:footnoteRef/>
      </w:r>
      <w:r>
        <w:rPr>
          <w:lang w:val="sv-SE"/>
        </w:rPr>
        <w:t xml:space="preserve"> </w:t>
      </w:r>
      <w:r>
        <w:rPr>
          <w:i/>
          <w:iCs/>
          <w:lang w:val="sv-SE"/>
        </w:rPr>
        <w:t>Musikens Makt</w:t>
      </w:r>
      <w:r>
        <w:rPr>
          <w:lang w:val="sv-SE"/>
        </w:rPr>
        <w:t xml:space="preserve"> nr 1 1973; se även Ulf Lindberg, ”Från ”högkyrka” till ”egojournalistik”. Rockkritiken i Sverige”, i </w:t>
      </w:r>
      <w:hyperlink r:id="rId5" w:history="1">
        <w:r>
          <w:rPr>
            <w:rStyle w:val="Hyperlnk"/>
            <w:lang w:val="sv-SE"/>
          </w:rPr>
          <w:t>http://www.nordicom.gu.se/sites/default/files/kapitel-pdf/18_033-042.pdf</w:t>
        </w:r>
      </w:hyperlink>
      <w:r>
        <w:rPr>
          <w:lang w:val="sv-SE"/>
        </w:rPr>
        <w:t xml:space="preserve">. </w:t>
      </w:r>
    </w:p>
  </w:footnote>
  <w:footnote w:id="48">
    <w:p w14:paraId="5EC6E9CD" w14:textId="77777777" w:rsidR="00000000" w:rsidRDefault="00BC3002">
      <w:pPr>
        <w:pStyle w:val="Fotnotstext"/>
        <w:rPr>
          <w:lang w:val="sv-SE"/>
        </w:rPr>
      </w:pPr>
      <w:r>
        <w:rPr>
          <w:rStyle w:val="Fotnotsreferens"/>
        </w:rPr>
        <w:footnoteRef/>
      </w:r>
      <w:r>
        <w:rPr>
          <w:lang w:val="sv-SE"/>
        </w:rPr>
        <w:t xml:space="preserve"> Musikens Makt 1977, nr 1</w:t>
      </w:r>
    </w:p>
  </w:footnote>
  <w:footnote w:id="49">
    <w:p w14:paraId="100448B3" w14:textId="77777777" w:rsidR="00000000" w:rsidRDefault="00BC3002">
      <w:pPr>
        <w:pStyle w:val="Fotnotstext"/>
        <w:rPr>
          <w:lang w:val="sv-SE"/>
        </w:rPr>
      </w:pPr>
      <w:r>
        <w:rPr>
          <w:rStyle w:val="Fotnotsreferens"/>
        </w:rPr>
        <w:footnoteRef/>
      </w:r>
      <w:r>
        <w:rPr>
          <w:lang w:val="sv-SE"/>
        </w:rPr>
        <w:t xml:space="preserve"> Contact, </w:t>
      </w:r>
      <w:r>
        <w:rPr>
          <w:i/>
          <w:iCs/>
          <w:lang w:val="sv-SE"/>
        </w:rPr>
        <w:t>Guldkalven</w:t>
      </w:r>
      <w:r>
        <w:rPr>
          <w:lang w:val="sv-SE"/>
        </w:rPr>
        <w:t xml:space="preserve">; Hoola Bandoola Band, </w:t>
      </w:r>
      <w:r>
        <w:rPr>
          <w:i/>
          <w:iCs/>
          <w:lang w:val="sv-SE"/>
        </w:rPr>
        <w:t xml:space="preserve">Vem kan man lita </w:t>
      </w:r>
      <w:proofErr w:type="gramStart"/>
      <w:r>
        <w:rPr>
          <w:i/>
          <w:iCs/>
          <w:lang w:val="sv-SE"/>
        </w:rPr>
        <w:t>på?</w:t>
      </w:r>
      <w:r>
        <w:rPr>
          <w:lang w:val="sv-SE"/>
        </w:rPr>
        <w:t>;</w:t>
      </w:r>
      <w:proofErr w:type="gramEnd"/>
      <w:r>
        <w:rPr>
          <w:lang w:val="sv-SE"/>
        </w:rPr>
        <w:t xml:space="preserve"> Nationalteatern, </w:t>
      </w:r>
      <w:r>
        <w:rPr>
          <w:i/>
          <w:iCs/>
          <w:lang w:val="sv-SE"/>
        </w:rPr>
        <w:t>Stena Olssons Compagnie</w:t>
      </w:r>
      <w:r>
        <w:rPr>
          <w:lang w:val="sv-SE"/>
        </w:rPr>
        <w:t>; Bl</w:t>
      </w:r>
      <w:r>
        <w:rPr>
          <w:lang w:val="sv-SE"/>
        </w:rPr>
        <w:t xml:space="preserve">å Tåget, </w:t>
      </w:r>
      <w:r>
        <w:rPr>
          <w:i/>
          <w:iCs/>
          <w:lang w:val="sv-SE"/>
        </w:rPr>
        <w:t>I Hagalund</w:t>
      </w:r>
      <w:r>
        <w:rPr>
          <w:lang w:val="sv-SE"/>
        </w:rPr>
        <w:t xml:space="preserve">; se även Norrbottens Järn, </w:t>
      </w:r>
      <w:r>
        <w:rPr>
          <w:i/>
          <w:iCs/>
          <w:lang w:val="sv-SE"/>
        </w:rPr>
        <w:t>Drömmarnas värld, Konserverad gröt, Prinsen och prinsessan</w:t>
      </w:r>
      <w:r>
        <w:rPr>
          <w:lang w:val="sv-SE"/>
        </w:rPr>
        <w:t>;</w:t>
      </w:r>
      <w:r>
        <w:rPr>
          <w:i/>
          <w:iCs/>
          <w:lang w:val="sv-SE"/>
        </w:rPr>
        <w:t xml:space="preserve"> </w:t>
      </w:r>
      <w:r>
        <w:rPr>
          <w:lang w:val="sv-SE"/>
        </w:rPr>
        <w:t>Elda med höns,</w:t>
      </w:r>
      <w:r>
        <w:rPr>
          <w:i/>
          <w:iCs/>
          <w:lang w:val="sv-SE"/>
        </w:rPr>
        <w:t xml:space="preserve"> Höga klackar</w:t>
      </w:r>
      <w:r>
        <w:rPr>
          <w:lang w:val="sv-SE"/>
        </w:rPr>
        <w:t xml:space="preserve">; Risken finns, </w:t>
      </w:r>
      <w:r>
        <w:rPr>
          <w:i/>
          <w:iCs/>
          <w:lang w:val="sv-SE"/>
        </w:rPr>
        <w:t>Tjejlåten</w:t>
      </w:r>
      <w:r>
        <w:rPr>
          <w:lang w:val="sv-SE"/>
        </w:rPr>
        <w:t>.</w:t>
      </w:r>
    </w:p>
  </w:footnote>
  <w:footnote w:id="50">
    <w:p w14:paraId="0F65ABBC" w14:textId="77777777" w:rsidR="00000000" w:rsidRDefault="00BC3002">
      <w:pPr>
        <w:pStyle w:val="Fotnotstext"/>
        <w:rPr>
          <w:lang w:val="en-GB"/>
        </w:rPr>
      </w:pPr>
      <w:r>
        <w:rPr>
          <w:rStyle w:val="Fotnotsreferens"/>
        </w:rPr>
        <w:footnoteRef/>
      </w:r>
      <w:r>
        <w:rPr>
          <w:lang w:val="sv-SE"/>
        </w:rPr>
        <w:t xml:space="preserve"> Nationalteatern, </w:t>
      </w:r>
      <w:proofErr w:type="spellStart"/>
      <w:r>
        <w:rPr>
          <w:i/>
          <w:iCs/>
          <w:lang w:val="sv-SE"/>
        </w:rPr>
        <w:t>Doing</w:t>
      </w:r>
      <w:proofErr w:type="spellEnd"/>
      <w:r>
        <w:rPr>
          <w:i/>
          <w:iCs/>
          <w:lang w:val="sv-SE"/>
        </w:rPr>
        <w:t xml:space="preserve"> the omoralisk schlagerfestival</w:t>
      </w:r>
      <w:r>
        <w:rPr>
          <w:lang w:val="sv-SE"/>
        </w:rPr>
        <w:t xml:space="preserve">; jfr Risken Finns, </w:t>
      </w:r>
      <w:r>
        <w:rPr>
          <w:i/>
          <w:iCs/>
          <w:lang w:val="sv-SE"/>
        </w:rPr>
        <w:t>Jag vill bli underhå</w:t>
      </w:r>
      <w:r>
        <w:rPr>
          <w:i/>
          <w:iCs/>
          <w:lang w:val="sv-SE"/>
        </w:rPr>
        <w:t>llen</w:t>
      </w:r>
      <w:r>
        <w:rPr>
          <w:lang w:val="sv-SE"/>
        </w:rPr>
        <w:t xml:space="preserve">, som tar upp massmarknadskulturen utifrån ett konsumentperspektiv. </w:t>
      </w:r>
      <w:proofErr w:type="spellStart"/>
      <w:r>
        <w:rPr>
          <w:lang w:val="en-GB"/>
        </w:rPr>
        <w:t>Jfr</w:t>
      </w:r>
      <w:proofErr w:type="spellEnd"/>
      <w:r>
        <w:rPr>
          <w:lang w:val="en-GB"/>
        </w:rPr>
        <w:t xml:space="preserve"> H </w:t>
      </w:r>
      <w:proofErr w:type="spellStart"/>
      <w:r>
        <w:rPr>
          <w:lang w:val="en-GB"/>
        </w:rPr>
        <w:t>Lahger</w:t>
      </w:r>
      <w:proofErr w:type="spellEnd"/>
      <w:r>
        <w:rPr>
          <w:lang w:val="en-GB"/>
        </w:rPr>
        <w:t xml:space="preserve"> 1999, s 148.</w:t>
      </w:r>
    </w:p>
  </w:footnote>
  <w:footnote w:id="51">
    <w:p w14:paraId="4A7A0152" w14:textId="77777777" w:rsidR="00000000" w:rsidRDefault="00BC3002">
      <w:pPr>
        <w:pStyle w:val="Fotnotstext"/>
        <w:rPr>
          <w:lang w:val="sv-SE"/>
        </w:rPr>
      </w:pPr>
      <w:r>
        <w:rPr>
          <w:rStyle w:val="Fotnotsreferens"/>
        </w:rPr>
        <w:footnoteRef/>
      </w:r>
      <w:r>
        <w:rPr>
          <w:lang w:val="sv-SE"/>
        </w:rPr>
        <w:t xml:space="preserve"> Det använda materialet med livshistorieintervjuer domineras av kvinnliga och manliga textilarbetare – totalt sett drygt 100 personer. Formellt sett ingår in</w:t>
      </w:r>
      <w:r>
        <w:rPr>
          <w:lang w:val="sv-SE"/>
        </w:rPr>
        <w:t>te hemmaarbetande kvinnor i materialet, men i det här sammanhanget är detta inget problem, eftersom många kvinnliga textilarbetare hade en brokig arbetskarriär, där de växlade mellan olika arbetsmarknader beroende på ålder, yrkeskompetens och familjesituat</w:t>
      </w:r>
      <w:r>
        <w:rPr>
          <w:lang w:val="sv-SE"/>
        </w:rPr>
        <w:t>ion, se B Horgby 2000. I materialet är dock den offentliga vården underrepresenterad.</w:t>
      </w:r>
    </w:p>
  </w:footnote>
  <w:footnote w:id="52">
    <w:p w14:paraId="45917F34" w14:textId="77777777" w:rsidR="00000000" w:rsidRDefault="00BC3002">
      <w:pPr>
        <w:pStyle w:val="Fotnotstext"/>
        <w:rPr>
          <w:lang w:val="sv-SE"/>
        </w:rPr>
      </w:pPr>
      <w:r>
        <w:rPr>
          <w:rStyle w:val="Fotnotsreferens"/>
        </w:rPr>
        <w:footnoteRef/>
      </w:r>
      <w:r>
        <w:rPr>
          <w:lang w:val="sv-SE"/>
        </w:rPr>
        <w:t xml:space="preserve"> Norrköpings Stadsmuseum, Arbetarminnen AM 40, 43; jfr Astrid Sjöborg, ”Glimtar ur en Saltängsunges skolliv”, i A Giertz 1985, s 45. Jfr T Gustafsson &amp; K Arnberg 2012, s</w:t>
      </w:r>
      <w:r>
        <w:rPr>
          <w:lang w:val="sv-SE"/>
        </w:rPr>
        <w:t xml:space="preserve"> 29 som diskuterar moralisk panik ur ett genusperspektiv, där retoriken tar upp skyddslösa kvinnor som offer.</w:t>
      </w:r>
    </w:p>
  </w:footnote>
  <w:footnote w:id="53">
    <w:p w14:paraId="79C9D49D" w14:textId="77777777" w:rsidR="00000000" w:rsidRDefault="00BC3002">
      <w:pPr>
        <w:pStyle w:val="Fotnotstext"/>
        <w:rPr>
          <w:lang w:val="sv-SE"/>
        </w:rPr>
      </w:pPr>
      <w:r>
        <w:rPr>
          <w:rStyle w:val="Fotnotsreferens"/>
        </w:rPr>
        <w:footnoteRef/>
      </w:r>
      <w:r>
        <w:rPr>
          <w:lang w:val="sv-SE"/>
        </w:rPr>
        <w:t xml:space="preserve"> U </w:t>
      </w:r>
      <w:proofErr w:type="spellStart"/>
      <w:r>
        <w:rPr>
          <w:lang w:val="sv-SE"/>
        </w:rPr>
        <w:t>Boethius</w:t>
      </w:r>
      <w:proofErr w:type="spellEnd"/>
      <w:r>
        <w:rPr>
          <w:lang w:val="sv-SE"/>
        </w:rPr>
        <w:t xml:space="preserve"> 1989, s 118 ff. </w:t>
      </w:r>
      <w:proofErr w:type="spellStart"/>
      <w:r>
        <w:rPr>
          <w:lang w:val="sv-SE"/>
        </w:rPr>
        <w:t>Boethius</w:t>
      </w:r>
      <w:proofErr w:type="spellEnd"/>
      <w:r>
        <w:rPr>
          <w:lang w:val="sv-SE"/>
        </w:rPr>
        <w:t xml:space="preserve"> menar att Nick Carter-litteraturen förde fram borgerliga värderingar. ”</w:t>
      </w:r>
      <w:r>
        <w:rPr>
          <w:i/>
          <w:lang w:val="sv-SE"/>
        </w:rPr>
        <w:t>Här fick man se att kapitalisterna va</w:t>
      </w:r>
      <w:r>
        <w:rPr>
          <w:i/>
          <w:lang w:val="sv-SE"/>
        </w:rPr>
        <w:t>r hederliga och fina människor så när som på de urspårade rötäggen. Samtidigt visade intrigerna att alla attacker mot de egendomsägande var dömda att misslyckas. Med hjälp av detektiver som Nick Carter greps förbrytarna raskt och fick sina rättvisa straff</w:t>
      </w:r>
      <w:r>
        <w:rPr>
          <w:lang w:val="sv-SE"/>
        </w:rPr>
        <w:t>.</w:t>
      </w:r>
      <w:r>
        <w:rPr>
          <w:lang w:val="sv-SE"/>
        </w:rPr>
        <w:t>” s 119.</w:t>
      </w:r>
    </w:p>
  </w:footnote>
  <w:footnote w:id="54">
    <w:p w14:paraId="4EEE8C5C" w14:textId="77777777" w:rsidR="00000000" w:rsidRDefault="00BC3002">
      <w:pPr>
        <w:pStyle w:val="Fotnotstext"/>
        <w:rPr>
          <w:lang w:val="sv-SE"/>
        </w:rPr>
      </w:pPr>
      <w:r>
        <w:rPr>
          <w:rStyle w:val="Fotnotsreferens"/>
        </w:rPr>
        <w:footnoteRef/>
      </w:r>
      <w:r>
        <w:rPr>
          <w:lang w:val="sv-SE"/>
        </w:rPr>
        <w:t xml:space="preserve"> B Horgby 1993, s 327, 369; B Hjorth 2003, s 54; Astrid Sjöborg, “Fredriksdal”, i A Giertz 1985, s 66; </w:t>
      </w:r>
      <w:r>
        <w:rPr>
          <w:color w:val="000000"/>
          <w:lang w:val="sv-SE"/>
        </w:rPr>
        <w:t xml:space="preserve">Åsa </w:t>
      </w:r>
      <w:proofErr w:type="spellStart"/>
      <w:r>
        <w:rPr>
          <w:color w:val="000000"/>
          <w:lang w:val="sv-SE"/>
        </w:rPr>
        <w:t>Jernudd</w:t>
      </w:r>
      <w:proofErr w:type="spellEnd"/>
      <w:r>
        <w:rPr>
          <w:color w:val="000000"/>
          <w:lang w:val="sv-SE"/>
        </w:rPr>
        <w:t xml:space="preserve">, </w:t>
      </w:r>
      <w:r>
        <w:rPr>
          <w:i/>
          <w:iCs/>
          <w:color w:val="000000"/>
          <w:lang w:val="sv-SE"/>
        </w:rPr>
        <w:t xml:space="preserve">Filmkultur och nöjesliv i Örebro </w:t>
      </w:r>
      <w:proofErr w:type="gramStart"/>
      <w:r>
        <w:rPr>
          <w:i/>
          <w:iCs/>
          <w:color w:val="000000"/>
          <w:lang w:val="sv-SE"/>
        </w:rPr>
        <w:t>1897-1908</w:t>
      </w:r>
      <w:proofErr w:type="gramEnd"/>
      <w:r>
        <w:rPr>
          <w:i/>
          <w:iCs/>
          <w:color w:val="000000"/>
          <w:lang w:val="sv-SE"/>
        </w:rPr>
        <w:t>.</w:t>
      </w:r>
      <w:r>
        <w:rPr>
          <w:color w:val="000000"/>
          <w:lang w:val="sv-SE"/>
        </w:rPr>
        <w:t xml:space="preserve"> Stockholm 2007</w:t>
      </w:r>
      <w:r>
        <w:rPr>
          <w:lang w:val="sv-SE"/>
        </w:rPr>
        <w:t>; jfr Sven Lutteman, “Teaterskräddarens affischer. Anteckningar om några</w:t>
      </w:r>
      <w:r>
        <w:rPr>
          <w:lang w:val="sv-SE"/>
        </w:rPr>
        <w:t xml:space="preserve"> teateraffischer från Saltängsteaterns tid.”, i </w:t>
      </w:r>
      <w:r>
        <w:rPr>
          <w:i/>
          <w:iCs/>
          <w:lang w:val="sv-SE"/>
        </w:rPr>
        <w:t>Jonglörer och aktörer. Ekvilibrister och artister. Om nöjen i Ullströms stad</w:t>
      </w:r>
      <w:r>
        <w:rPr>
          <w:lang w:val="sv-SE"/>
        </w:rPr>
        <w:t>. Norrköping 1978</w:t>
      </w:r>
    </w:p>
  </w:footnote>
  <w:footnote w:id="55">
    <w:p w14:paraId="308B930B" w14:textId="77777777" w:rsidR="00000000" w:rsidRDefault="00BC3002">
      <w:pPr>
        <w:pStyle w:val="Fotnotstext"/>
        <w:rPr>
          <w:lang w:val="sv-SE"/>
        </w:rPr>
      </w:pPr>
      <w:r>
        <w:rPr>
          <w:rStyle w:val="Fotnotsreferens"/>
        </w:rPr>
        <w:footnoteRef/>
      </w:r>
      <w:r>
        <w:rPr>
          <w:lang w:val="sv-SE"/>
        </w:rPr>
        <w:t xml:space="preserve"> Nordiska museet, Verkstadsminnen, </w:t>
      </w:r>
      <w:r>
        <w:rPr>
          <w:snapToGrid/>
          <w:lang w:val="sv-SE"/>
        </w:rPr>
        <w:t xml:space="preserve">EU 44020; se även EU 44052, </w:t>
      </w:r>
      <w:proofErr w:type="gramStart"/>
      <w:r>
        <w:rPr>
          <w:snapToGrid/>
          <w:lang w:val="sv-SE"/>
        </w:rPr>
        <w:t>44059</w:t>
      </w:r>
      <w:proofErr w:type="gramEnd"/>
      <w:r>
        <w:rPr>
          <w:snapToGrid/>
          <w:lang w:val="sv-SE"/>
        </w:rPr>
        <w:t xml:space="preserve"> och 44066; Norrköpings Stadsmuseum AM 31, 23</w:t>
      </w:r>
      <w:r>
        <w:rPr>
          <w:snapToGrid/>
          <w:lang w:val="sv-SE"/>
        </w:rPr>
        <w:t xml:space="preserve">, 39, 45, 52, 79, 89, 98, 99, </w:t>
      </w:r>
      <w:r>
        <w:rPr>
          <w:lang w:val="sv-SE"/>
        </w:rPr>
        <w:t xml:space="preserve">104, 109, 113, 114, 124, 186, 189, </w:t>
      </w:r>
      <w:r>
        <w:rPr>
          <w:snapToGrid/>
          <w:lang w:val="sv-SE"/>
        </w:rPr>
        <w:t xml:space="preserve">200, 213, 233, 248, 249, 251, 252, 257, 259, 261, 268, 271; om jazzen, se M Franzén 1992, s 233; och J </w:t>
      </w:r>
      <w:proofErr w:type="spellStart"/>
      <w:r>
        <w:rPr>
          <w:snapToGrid/>
          <w:lang w:val="sv-SE"/>
        </w:rPr>
        <w:t>Fornäs</w:t>
      </w:r>
      <w:proofErr w:type="spellEnd"/>
      <w:r>
        <w:rPr>
          <w:snapToGrid/>
          <w:lang w:val="sv-SE"/>
        </w:rPr>
        <w:t xml:space="preserve"> 2004; se även B Horgby 1990, s 188 och 1993, s 327. Se även B Hjorth 2003, s 33, </w:t>
      </w:r>
      <w:r>
        <w:rPr>
          <w:snapToGrid/>
          <w:lang w:val="sv-SE"/>
        </w:rPr>
        <w:t xml:space="preserve">40, </w:t>
      </w:r>
      <w:proofErr w:type="gramStart"/>
      <w:r>
        <w:rPr>
          <w:snapToGrid/>
          <w:lang w:val="sv-SE"/>
        </w:rPr>
        <w:t>115-18</w:t>
      </w:r>
      <w:proofErr w:type="gramEnd"/>
      <w:r>
        <w:rPr>
          <w:snapToGrid/>
          <w:lang w:val="sv-SE"/>
        </w:rPr>
        <w:t>; Erik Karlén, “</w:t>
      </w:r>
      <w:proofErr w:type="spellStart"/>
      <w:r>
        <w:rPr>
          <w:snapToGrid/>
          <w:lang w:val="sv-SE"/>
        </w:rPr>
        <w:t>Strömsholmen</w:t>
      </w:r>
      <w:proofErr w:type="spellEnd"/>
      <w:r>
        <w:rPr>
          <w:snapToGrid/>
          <w:lang w:val="sv-SE"/>
        </w:rPr>
        <w:t xml:space="preserve">”, i A Giertz 1985, s 72-75. </w:t>
      </w:r>
      <w:r>
        <w:rPr>
          <w:snapToGrid/>
          <w:lang w:val="en-GB"/>
        </w:rPr>
        <w:t xml:space="preserve">Elizabeth Roberts, </w:t>
      </w:r>
      <w:r>
        <w:rPr>
          <w:i/>
          <w:iCs/>
          <w:snapToGrid/>
          <w:lang w:val="en-GB"/>
        </w:rPr>
        <w:t>A Woman’s Place. An Oral History of Working-Class Women 1890-1940</w:t>
      </w:r>
      <w:r>
        <w:rPr>
          <w:snapToGrid/>
          <w:lang w:val="en-GB"/>
        </w:rPr>
        <w:t xml:space="preserve">. </w:t>
      </w:r>
      <w:r>
        <w:rPr>
          <w:snapToGrid/>
          <w:lang w:val="sv-SE"/>
        </w:rPr>
        <w:t xml:space="preserve">Oxford 1984, s 69 </w:t>
      </w:r>
      <w:proofErr w:type="spellStart"/>
      <w:r>
        <w:rPr>
          <w:snapToGrid/>
          <w:lang w:val="sv-SE"/>
        </w:rPr>
        <w:t>ff</w:t>
      </w:r>
      <w:proofErr w:type="spellEnd"/>
      <w:r>
        <w:rPr>
          <w:snapToGrid/>
          <w:lang w:val="sv-SE"/>
        </w:rPr>
        <w:t xml:space="preserve"> visar att dansen spelade samma roll i den brittiska arbetarkulturen som i den sven</w:t>
      </w:r>
      <w:r>
        <w:rPr>
          <w:snapToGrid/>
          <w:lang w:val="sv-SE"/>
        </w:rPr>
        <w:t xml:space="preserve">ska; även U </w:t>
      </w:r>
      <w:proofErr w:type="spellStart"/>
      <w:r>
        <w:rPr>
          <w:snapToGrid/>
          <w:lang w:val="sv-SE"/>
        </w:rPr>
        <w:t>Boethius</w:t>
      </w:r>
      <w:proofErr w:type="spellEnd"/>
      <w:r>
        <w:rPr>
          <w:snapToGrid/>
          <w:lang w:val="sv-SE"/>
        </w:rPr>
        <w:t xml:space="preserve"> 1989, s </w:t>
      </w:r>
      <w:proofErr w:type="gramStart"/>
      <w:r>
        <w:rPr>
          <w:snapToGrid/>
          <w:lang w:val="sv-SE"/>
        </w:rPr>
        <w:t>22-23</w:t>
      </w:r>
      <w:proofErr w:type="gramEnd"/>
      <w:r>
        <w:rPr>
          <w:snapToGrid/>
          <w:lang w:val="sv-SE"/>
        </w:rPr>
        <w:t>.</w:t>
      </w:r>
    </w:p>
  </w:footnote>
  <w:footnote w:id="56">
    <w:p w14:paraId="7594DCDE" w14:textId="77777777" w:rsidR="00000000" w:rsidRDefault="00BC3002">
      <w:pPr>
        <w:pStyle w:val="Fotnotstext"/>
        <w:rPr>
          <w:lang w:val="sv-SE"/>
        </w:rPr>
      </w:pPr>
      <w:r>
        <w:rPr>
          <w:rStyle w:val="Fotnotsreferens"/>
        </w:rPr>
        <w:footnoteRef/>
      </w:r>
      <w:r>
        <w:rPr>
          <w:lang w:val="sv-SE"/>
        </w:rPr>
        <w:t xml:space="preserve"> Norrköpings Stadsmuseum, Arbetarminnen AM 31, 32, 39; B Horgby 1990, s 189 (citat).</w:t>
      </w:r>
    </w:p>
  </w:footnote>
  <w:footnote w:id="57">
    <w:p w14:paraId="6AEA229D" w14:textId="77777777" w:rsidR="00000000" w:rsidRDefault="00BC3002">
      <w:pPr>
        <w:pStyle w:val="Fotnotstext"/>
        <w:rPr>
          <w:lang w:val="sv-SE"/>
        </w:rPr>
      </w:pPr>
      <w:r>
        <w:rPr>
          <w:rStyle w:val="Fotnotsreferens"/>
        </w:rPr>
        <w:footnoteRef/>
      </w:r>
      <w:r>
        <w:rPr>
          <w:lang w:val="sv-SE"/>
        </w:rPr>
        <w:t xml:space="preserve"> B Horgby 1990, s </w:t>
      </w:r>
      <w:proofErr w:type="gramStart"/>
      <w:r>
        <w:rPr>
          <w:lang w:val="sv-SE"/>
        </w:rPr>
        <w:t>190-91</w:t>
      </w:r>
      <w:proofErr w:type="gramEnd"/>
      <w:r>
        <w:rPr>
          <w:lang w:val="sv-SE"/>
        </w:rPr>
        <w:t>; se även J Frykman &amp; O Löfgren 1985, s 79; om amerikaniseringen, se T Gustafsson &amp; K Arnberg 2012, s 28.</w:t>
      </w:r>
    </w:p>
  </w:footnote>
  <w:footnote w:id="58">
    <w:p w14:paraId="333EC584" w14:textId="77777777" w:rsidR="00000000" w:rsidRDefault="00BC3002">
      <w:pPr>
        <w:pStyle w:val="Fotnotstext"/>
        <w:rPr>
          <w:lang w:val="sv-SE"/>
        </w:rPr>
      </w:pPr>
      <w:r>
        <w:rPr>
          <w:rStyle w:val="Fotnotsreferens"/>
        </w:rPr>
        <w:footnoteRef/>
      </w:r>
      <w:r>
        <w:rPr>
          <w:lang w:val="sv-SE"/>
        </w:rPr>
        <w:t xml:space="preserve"> N</w:t>
      </w:r>
      <w:r>
        <w:rPr>
          <w:lang w:val="sv-SE"/>
        </w:rPr>
        <w:t xml:space="preserve">orrköpings stadsmuseum, Arbetarminnen, AM 52, 163, 166, 167, 195, 198, 200, 204, 208, 209, 210, 211, 212, 213, 214, 248, 249, 251, 252, 257; för 00-talet, se </w:t>
      </w:r>
      <w:proofErr w:type="gramStart"/>
      <w:r>
        <w:rPr>
          <w:lang w:val="sv-SE"/>
        </w:rPr>
        <w:t>Nordiska</w:t>
      </w:r>
      <w:proofErr w:type="gramEnd"/>
      <w:r>
        <w:rPr>
          <w:lang w:val="sv-SE"/>
        </w:rPr>
        <w:t xml:space="preserve"> museet, Verkstadsminnen EU 44029, 44066; Arne R Östensson, ”Att gå på </w:t>
      </w:r>
      <w:proofErr w:type="spellStart"/>
      <w:r>
        <w:rPr>
          <w:lang w:val="sv-SE"/>
        </w:rPr>
        <w:t>Kinne</w:t>
      </w:r>
      <w:proofErr w:type="spellEnd"/>
      <w:r>
        <w:rPr>
          <w:lang w:val="sv-SE"/>
        </w:rPr>
        <w:t xml:space="preserve">”, i A Giertz </w:t>
      </w:r>
      <w:r>
        <w:rPr>
          <w:lang w:val="sv-SE"/>
        </w:rPr>
        <w:t>1985, s 102-08; jfr E Roberts 1984, s 123-24. Roberts menar att biograferna höll många män borta från den brittiska pubkulturen.</w:t>
      </w:r>
    </w:p>
  </w:footnote>
  <w:footnote w:id="59">
    <w:p w14:paraId="0A2C22C3" w14:textId="77777777" w:rsidR="00000000" w:rsidRDefault="00BC3002">
      <w:pPr>
        <w:pStyle w:val="Fotnotstext"/>
        <w:rPr>
          <w:lang w:val="sv-SE"/>
        </w:rPr>
      </w:pPr>
      <w:r>
        <w:rPr>
          <w:rStyle w:val="Fotnotsreferens"/>
        </w:rPr>
        <w:footnoteRef/>
      </w:r>
      <w:r>
        <w:rPr>
          <w:lang w:val="sv-SE"/>
        </w:rPr>
        <w:t xml:space="preserve"> Nordiska muséet, Verkstadsminnen EU 44066; Norrköpings Stadsmuseum, Arbetarminnen AM 31, 32, 39, 121, 123, 163, 166, 167; Eri</w:t>
      </w:r>
      <w:r>
        <w:rPr>
          <w:lang w:val="sv-SE"/>
        </w:rPr>
        <w:t xml:space="preserve">k Karlén, ”Cirkusminnen”, i A Giertz 1985, s </w:t>
      </w:r>
      <w:proofErr w:type="gramStart"/>
      <w:r>
        <w:rPr>
          <w:lang w:val="sv-SE"/>
        </w:rPr>
        <w:t>110-17</w:t>
      </w:r>
      <w:proofErr w:type="gramEnd"/>
      <w:r>
        <w:rPr>
          <w:lang w:val="sv-SE"/>
        </w:rPr>
        <w:t xml:space="preserve">; Per-Arne </w:t>
      </w:r>
      <w:proofErr w:type="spellStart"/>
      <w:r>
        <w:rPr>
          <w:lang w:val="sv-SE"/>
        </w:rPr>
        <w:t>Wåhlberg</w:t>
      </w:r>
      <w:proofErr w:type="spellEnd"/>
      <w:r>
        <w:rPr>
          <w:lang w:val="sv-SE"/>
        </w:rPr>
        <w:t>, ”Om cirkusliv i Norrköping”, i Jonglörer och aktörer</w:t>
      </w:r>
      <w:r>
        <w:rPr>
          <w:i/>
          <w:iCs/>
          <w:lang w:val="sv-SE"/>
        </w:rPr>
        <w:t xml:space="preserve"> </w:t>
      </w:r>
      <w:r>
        <w:rPr>
          <w:lang w:val="sv-SE"/>
        </w:rPr>
        <w:t xml:space="preserve">1978, s 28-48. </w:t>
      </w:r>
      <w:r>
        <w:rPr>
          <w:lang w:val="en-GB"/>
        </w:rPr>
        <w:t xml:space="preserve">B Hjorth 2003, s 77, 79-80. </w:t>
      </w:r>
      <w:r>
        <w:rPr>
          <w:lang w:val="sv-SE"/>
        </w:rPr>
        <w:t>Nordiska museet, Typografminnen 44812.</w:t>
      </w:r>
    </w:p>
  </w:footnote>
  <w:footnote w:id="60">
    <w:p w14:paraId="5A3E4318" w14:textId="77777777" w:rsidR="00000000" w:rsidRDefault="00BC3002">
      <w:pPr>
        <w:pStyle w:val="Fotnotstext"/>
        <w:rPr>
          <w:lang w:val="sv-SE"/>
        </w:rPr>
      </w:pPr>
      <w:r>
        <w:rPr>
          <w:rStyle w:val="Fotnotsreferens"/>
        </w:rPr>
        <w:footnoteRef/>
      </w:r>
      <w:r>
        <w:rPr>
          <w:lang w:val="sv-SE"/>
        </w:rPr>
        <w:t xml:space="preserve"> Norrköpings stadsmuseum, Arbetarminnen, AM 52; </w:t>
      </w:r>
      <w:r>
        <w:rPr>
          <w:lang w:val="sv-SE"/>
        </w:rPr>
        <w:t>B Horgby 1990, s 188 (citat).</w:t>
      </w:r>
    </w:p>
  </w:footnote>
  <w:footnote w:id="61">
    <w:p w14:paraId="21A0C8A9" w14:textId="77777777" w:rsidR="00000000" w:rsidRDefault="00BC3002">
      <w:pPr>
        <w:pStyle w:val="Fotnotstext"/>
        <w:rPr>
          <w:lang w:val="sv-SE"/>
        </w:rPr>
      </w:pPr>
      <w:r>
        <w:rPr>
          <w:rStyle w:val="Fotnotsreferens"/>
        </w:rPr>
        <w:footnoteRef/>
      </w:r>
      <w:r>
        <w:rPr>
          <w:lang w:val="sv-SE"/>
        </w:rPr>
        <w:t xml:space="preserve"> Norrköpings Stadsmuseum, Arbetarminnen, AM 213, 249, 251, 252; om männens kafékultur, se B Horgby 2000, s 461</w:t>
      </w:r>
    </w:p>
  </w:footnote>
  <w:footnote w:id="62">
    <w:p w14:paraId="303EC62D" w14:textId="77777777" w:rsidR="00000000" w:rsidRDefault="00BC3002">
      <w:pPr>
        <w:pStyle w:val="Fotnotstext"/>
      </w:pPr>
      <w:r>
        <w:rPr>
          <w:rStyle w:val="Fotnotsreferens"/>
        </w:rPr>
        <w:footnoteRef/>
      </w:r>
      <w:r>
        <w:rPr>
          <w:lang w:val="sv-SE"/>
        </w:rPr>
        <w:t xml:space="preserve"> Nils-Olof </w:t>
      </w:r>
      <w:proofErr w:type="spellStart"/>
      <w:r>
        <w:rPr>
          <w:lang w:val="sv-SE"/>
        </w:rPr>
        <w:t>Zethrin</w:t>
      </w:r>
      <w:proofErr w:type="spellEnd"/>
      <w:r>
        <w:rPr>
          <w:lang w:val="sv-SE"/>
        </w:rPr>
        <w:t xml:space="preserve">, </w:t>
      </w:r>
      <w:r>
        <w:rPr>
          <w:i/>
          <w:iCs/>
          <w:lang w:val="sv-SE"/>
        </w:rPr>
        <w:t>Mellan masskonsumtion och folkrörelse. Idrottens kommersialisering under mellankrigstiden</w:t>
      </w:r>
      <w:r>
        <w:rPr>
          <w:lang w:val="sv-SE"/>
        </w:rPr>
        <w:t xml:space="preserve">. </w:t>
      </w:r>
      <w:proofErr w:type="spellStart"/>
      <w:r>
        <w:rPr>
          <w:lang w:val="en-GB"/>
        </w:rPr>
        <w:t>Ör</w:t>
      </w:r>
      <w:r>
        <w:rPr>
          <w:lang w:val="en-GB"/>
        </w:rPr>
        <w:t>ebro</w:t>
      </w:r>
      <w:proofErr w:type="spellEnd"/>
      <w:r>
        <w:rPr>
          <w:lang w:val="en-GB"/>
        </w:rPr>
        <w:t xml:space="preserve"> </w:t>
      </w:r>
      <w:r>
        <w:t xml:space="preserve">2015; J Frykman &amp; O </w:t>
      </w:r>
      <w:proofErr w:type="spellStart"/>
      <w:r>
        <w:t>Löfgren</w:t>
      </w:r>
      <w:proofErr w:type="spellEnd"/>
      <w:r>
        <w:t xml:space="preserve"> 1985, s 83; M </w:t>
      </w:r>
      <w:proofErr w:type="spellStart"/>
      <w:r>
        <w:t>Franzén</w:t>
      </w:r>
      <w:proofErr w:type="spellEnd"/>
      <w:r>
        <w:t xml:space="preserve"> 1992, s 384; B Horgby 1993, s 327-29, 384-86 </w:t>
      </w:r>
      <w:proofErr w:type="spellStart"/>
      <w:r>
        <w:t>och</w:t>
      </w:r>
      <w:proofErr w:type="spellEnd"/>
      <w:r>
        <w:t xml:space="preserve"> 2000, s 464.</w:t>
      </w:r>
    </w:p>
  </w:footnote>
  <w:footnote w:id="63">
    <w:p w14:paraId="73456A76" w14:textId="77777777" w:rsidR="00000000" w:rsidRDefault="00BC3002">
      <w:pPr>
        <w:pStyle w:val="Fotnotstext"/>
      </w:pPr>
      <w:r>
        <w:rPr>
          <w:rStyle w:val="Fotnotsreferens"/>
        </w:rPr>
        <w:footnoteRef/>
      </w:r>
      <w:r>
        <w:t xml:space="preserve"> B Horgby 2000, s 494-99</w:t>
      </w:r>
    </w:p>
  </w:footnote>
  <w:footnote w:id="64">
    <w:p w14:paraId="491220F6" w14:textId="77777777" w:rsidR="00000000" w:rsidRDefault="00BC3002">
      <w:pPr>
        <w:pStyle w:val="Fotnotstext"/>
        <w:rPr>
          <w:lang w:val="en-GB"/>
        </w:rPr>
      </w:pPr>
      <w:r>
        <w:rPr>
          <w:rStyle w:val="Fotnotsreferens"/>
        </w:rPr>
        <w:footnoteRef/>
      </w:r>
      <w:r>
        <w:rPr>
          <w:lang w:val="en-GB"/>
        </w:rPr>
        <w:t xml:space="preserve"> M </w:t>
      </w:r>
      <w:proofErr w:type="spellStart"/>
      <w:r>
        <w:rPr>
          <w:lang w:val="en-GB"/>
        </w:rPr>
        <w:t>Franzén</w:t>
      </w:r>
      <w:proofErr w:type="spellEnd"/>
      <w:r>
        <w:rPr>
          <w:lang w:val="en-GB"/>
        </w:rPr>
        <w:t xml:space="preserve"> 1992, s 383; </w:t>
      </w:r>
      <w:proofErr w:type="spellStart"/>
      <w:r>
        <w:rPr>
          <w:lang w:val="en-GB"/>
        </w:rPr>
        <w:t>jfr</w:t>
      </w:r>
      <w:proofErr w:type="spellEnd"/>
      <w:r>
        <w:rPr>
          <w:lang w:val="en-GB"/>
        </w:rPr>
        <w:t xml:space="preserve"> E Roberts 1984, s 114-16</w:t>
      </w:r>
    </w:p>
  </w:footnote>
  <w:footnote w:id="65">
    <w:p w14:paraId="57874D04" w14:textId="77777777" w:rsidR="00000000" w:rsidRDefault="00BC3002">
      <w:pPr>
        <w:pStyle w:val="Fotnotstext"/>
        <w:rPr>
          <w:lang w:val="sv-SE"/>
        </w:rPr>
      </w:pPr>
      <w:r>
        <w:rPr>
          <w:rStyle w:val="Fotnotsreferens"/>
        </w:rPr>
        <w:footnoteRef/>
      </w:r>
      <w:r>
        <w:rPr>
          <w:lang w:val="sv-SE"/>
        </w:rPr>
        <w:t xml:space="preserve"> B Horgby 1993, 2000, 2007 och 2012; se även not 3. Begrep</w:t>
      </w:r>
      <w:r>
        <w:rPr>
          <w:lang w:val="sv-SE"/>
        </w:rPr>
        <w:t xml:space="preserve">pet ”egensinne” utvecklar jag närmare i B Horgby 1993. </w:t>
      </w:r>
    </w:p>
  </w:footnote>
  <w:footnote w:id="66">
    <w:p w14:paraId="7CA26F83" w14:textId="77777777" w:rsidR="00000000" w:rsidRDefault="00BC3002">
      <w:pPr>
        <w:pStyle w:val="Fotnotstext"/>
        <w:rPr>
          <w:lang w:val="sv-SE"/>
        </w:rPr>
      </w:pPr>
      <w:r>
        <w:rPr>
          <w:rStyle w:val="Fotnotsreferens"/>
        </w:rPr>
        <w:footnoteRef/>
      </w:r>
      <w:r>
        <w:rPr>
          <w:lang w:val="sv-SE"/>
        </w:rPr>
        <w:t xml:space="preserve"> B Horgby 1993, s </w:t>
      </w:r>
      <w:proofErr w:type="gramStart"/>
      <w:r>
        <w:rPr>
          <w:lang w:val="sv-SE"/>
        </w:rPr>
        <w:t>303-30</w:t>
      </w:r>
      <w:proofErr w:type="gramEnd"/>
      <w:r>
        <w:rPr>
          <w:lang w:val="sv-SE"/>
        </w:rPr>
        <w:t>, 2007 och 2012; se även O Löfgren 1985, s 85-86</w:t>
      </w:r>
    </w:p>
  </w:footnote>
  <w:footnote w:id="67">
    <w:p w14:paraId="7E9CE55A" w14:textId="77777777" w:rsidR="00000000" w:rsidRDefault="00BC3002">
      <w:pPr>
        <w:pStyle w:val="Fotnotstext"/>
        <w:rPr>
          <w:lang w:val="en-GB"/>
        </w:rPr>
      </w:pPr>
      <w:r>
        <w:rPr>
          <w:rStyle w:val="Fotnotsreferens"/>
        </w:rPr>
        <w:footnoteRef/>
      </w:r>
      <w:r>
        <w:rPr>
          <w:lang w:val="en-GB"/>
        </w:rPr>
        <w:t xml:space="preserve"> B Horgby 1993; P Stearns 1980.</w:t>
      </w:r>
    </w:p>
  </w:footnote>
  <w:footnote w:id="68">
    <w:p w14:paraId="6417BC22" w14:textId="77777777" w:rsidR="00000000" w:rsidRDefault="00BC3002">
      <w:pPr>
        <w:pStyle w:val="Fotnotstext"/>
        <w:rPr>
          <w:lang w:val="sv-SE"/>
        </w:rPr>
      </w:pPr>
      <w:r>
        <w:rPr>
          <w:rStyle w:val="Fotnotsreferens"/>
        </w:rPr>
        <w:footnoteRef/>
      </w:r>
      <w:r>
        <w:rPr>
          <w:lang w:val="sv-SE"/>
        </w:rPr>
        <w:t xml:space="preserve"> Detta perspektiv förekommer också inom den tidigare forskningen. Se till exempel </w:t>
      </w:r>
      <w:r>
        <w:rPr>
          <w:color w:val="000000"/>
          <w:lang w:val="sv-SE"/>
        </w:rPr>
        <w:t>Lennart Ny</w:t>
      </w:r>
      <w:r>
        <w:rPr>
          <w:color w:val="000000"/>
          <w:lang w:val="sv-SE"/>
        </w:rPr>
        <w:t xml:space="preserve">berg, ”Arbetarkultur, populärkultur, masskultur. Om brittisk arbetarkulturforskning”, i </w:t>
      </w:r>
      <w:r>
        <w:rPr>
          <w:i/>
          <w:iCs/>
          <w:color w:val="000000"/>
          <w:lang w:val="sv-SE"/>
        </w:rPr>
        <w:t>Arkiv för studier i arbetarrörelsens historia</w:t>
      </w:r>
      <w:r>
        <w:rPr>
          <w:color w:val="000000"/>
          <w:lang w:val="sv-SE"/>
        </w:rPr>
        <w:t xml:space="preserve"> nr 92 2004</w:t>
      </w:r>
      <w:r>
        <w:rPr>
          <w:lang w:val="sv-SE"/>
        </w:rPr>
        <w:t xml:space="preserve">, s </w:t>
      </w:r>
      <w:proofErr w:type="gramStart"/>
      <w:r>
        <w:rPr>
          <w:lang w:val="sv-SE"/>
        </w:rPr>
        <w:t>2-3</w:t>
      </w:r>
      <w:proofErr w:type="gramEnd"/>
      <w:r>
        <w:rPr>
          <w:lang w:val="sv-SE"/>
        </w:rPr>
        <w:t xml:space="preserve">; se även övriga artiklar i samma nummer av </w:t>
      </w:r>
      <w:r>
        <w:rPr>
          <w:i/>
          <w:iCs/>
          <w:lang w:val="sv-SE"/>
        </w:rPr>
        <w:t>Arkiv för studier i arbetarrörelsens historia</w:t>
      </w:r>
      <w:r>
        <w:rPr>
          <w:lang w:val="sv-SE"/>
        </w:rPr>
        <w:t xml:space="preserve"> nr 92 2004. Sam</w:t>
      </w:r>
      <w:r>
        <w:rPr>
          <w:lang w:val="sv-SE"/>
        </w:rPr>
        <w:t xml:space="preserve">ma offerperspektiv hade förresten Frankfurterskolans kända teoretiker Theodor Adorno och Walter Benjamin, här refererade efter T Gustafsson &amp; K Arnberg 2012, s 26. </w:t>
      </w:r>
      <w:r>
        <w:rPr>
          <w:lang w:val="en-GB"/>
        </w:rPr>
        <w:t xml:space="preserve">Om </w:t>
      </w:r>
      <w:proofErr w:type="spellStart"/>
      <w:r>
        <w:rPr>
          <w:lang w:val="en-GB"/>
        </w:rPr>
        <w:t>inbäddning</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språket</w:t>
      </w:r>
      <w:proofErr w:type="spellEnd"/>
      <w:r>
        <w:rPr>
          <w:lang w:val="en-GB"/>
        </w:rPr>
        <w:t xml:space="preserve">, </w:t>
      </w:r>
      <w:proofErr w:type="spellStart"/>
      <w:r>
        <w:rPr>
          <w:lang w:val="en-GB"/>
        </w:rPr>
        <w:t>jfr</w:t>
      </w:r>
      <w:proofErr w:type="spellEnd"/>
      <w:r>
        <w:rPr>
          <w:lang w:val="en-GB"/>
        </w:rPr>
        <w:t xml:space="preserve"> Allan </w:t>
      </w:r>
      <w:proofErr w:type="spellStart"/>
      <w:r>
        <w:rPr>
          <w:lang w:val="en-GB"/>
        </w:rPr>
        <w:t>Pred</w:t>
      </w:r>
      <w:proofErr w:type="spellEnd"/>
      <w:r>
        <w:rPr>
          <w:lang w:val="en-GB"/>
        </w:rPr>
        <w:t xml:space="preserve">, </w:t>
      </w:r>
      <w:r>
        <w:rPr>
          <w:i/>
          <w:iCs/>
          <w:lang w:val="en-GB"/>
        </w:rPr>
        <w:t>Lost words and lost worlds: Modernity and the langu</w:t>
      </w:r>
      <w:r>
        <w:rPr>
          <w:i/>
          <w:iCs/>
          <w:lang w:val="en-GB"/>
        </w:rPr>
        <w:t>age and everyday life in late nineteenth-century Stockholm</w:t>
      </w:r>
      <w:r>
        <w:rPr>
          <w:lang w:val="en-GB"/>
        </w:rPr>
        <w:t xml:space="preserve">. </w:t>
      </w:r>
      <w:r>
        <w:rPr>
          <w:lang w:val="sv-SE"/>
        </w:rPr>
        <w:t>Cambridge 1990. Jag diskuterar förborgerligandetesen kritiskt i B Horgby 1993, kap 9.</w:t>
      </w:r>
    </w:p>
  </w:footnote>
  <w:footnote w:id="69">
    <w:p w14:paraId="7D9949BA" w14:textId="77777777" w:rsidR="00000000" w:rsidRDefault="00BC3002">
      <w:pPr>
        <w:pStyle w:val="Fotnotstext"/>
        <w:rPr>
          <w:lang w:val="en-GB"/>
        </w:rPr>
      </w:pPr>
      <w:r>
        <w:rPr>
          <w:rStyle w:val="Fotnotsreferens"/>
        </w:rPr>
        <w:footnoteRef/>
      </w:r>
      <w:r>
        <w:rPr>
          <w:lang w:val="en-GB"/>
        </w:rPr>
        <w:t xml:space="preserve"> </w:t>
      </w:r>
      <w:proofErr w:type="spellStart"/>
      <w:r>
        <w:rPr>
          <w:lang w:val="en-GB"/>
        </w:rPr>
        <w:t>Jfr</w:t>
      </w:r>
      <w:proofErr w:type="spellEnd"/>
      <w:r>
        <w:rPr>
          <w:lang w:val="en-GB"/>
        </w:rPr>
        <w:t xml:space="preserve"> T Gustafsson &amp; K </w:t>
      </w:r>
      <w:proofErr w:type="spellStart"/>
      <w:r>
        <w:rPr>
          <w:lang w:val="en-GB"/>
        </w:rPr>
        <w:t>Arnberg</w:t>
      </w:r>
      <w:proofErr w:type="spellEnd"/>
      <w:r>
        <w:rPr>
          <w:lang w:val="en-GB"/>
        </w:rPr>
        <w:t xml:space="preserve"> 2012, s 26.</w:t>
      </w:r>
    </w:p>
  </w:footnote>
  <w:footnote w:id="70">
    <w:p w14:paraId="7CAE5B8E" w14:textId="77777777" w:rsidR="00000000" w:rsidRDefault="00BC3002">
      <w:pPr>
        <w:pStyle w:val="Fotnotstext"/>
      </w:pPr>
      <w:r>
        <w:rPr>
          <w:rStyle w:val="Fotnotsreferens"/>
        </w:rPr>
        <w:footnoteRef/>
      </w:r>
      <w:r>
        <w:t xml:space="preserve"> U Boethius 1989, s 124-25, </w:t>
      </w:r>
      <w:proofErr w:type="spellStart"/>
      <w:r>
        <w:t>citat</w:t>
      </w:r>
      <w:proofErr w:type="spellEnd"/>
      <w:r>
        <w:t xml:space="preserve"> s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31B2" w14:textId="77777777" w:rsidR="00000000" w:rsidRDefault="00BC300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2DE6184" w14:textId="77777777" w:rsidR="00000000" w:rsidRDefault="00BC3002">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7FEC" w14:textId="77777777" w:rsidR="00000000" w:rsidRDefault="00BC300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19</w:t>
    </w:r>
    <w:r>
      <w:rPr>
        <w:rStyle w:val="Sidnummer"/>
      </w:rPr>
      <w:fldChar w:fldCharType="end"/>
    </w:r>
  </w:p>
  <w:p w14:paraId="55E8844F" w14:textId="77777777" w:rsidR="00000000" w:rsidRDefault="00BC3002">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80846C0"/>
    <w:multiLevelType w:val="hybridMultilevel"/>
    <w:tmpl w:val="C57EF7EE"/>
    <w:lvl w:ilvl="0" w:tplc="C9AA25A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6334D79"/>
    <w:multiLevelType w:val="hybridMultilevel"/>
    <w:tmpl w:val="0F0A3E2A"/>
    <w:lvl w:ilvl="0" w:tplc="BC023DCC">
      <w:start w:val="1"/>
      <w:numFmt w:val="lowerLetter"/>
      <w:lvlText w:val="%1."/>
      <w:lvlJc w:val="left"/>
      <w:pPr>
        <w:ind w:left="1080" w:hanging="360"/>
      </w:pPr>
      <w:rPr>
        <w:rFonts w:hint="default"/>
        <w:b/>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A4E5F40"/>
    <w:multiLevelType w:val="hybridMultilevel"/>
    <w:tmpl w:val="1FDC888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B3A4016"/>
    <w:multiLevelType w:val="hybridMultilevel"/>
    <w:tmpl w:val="58A87C1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C385769"/>
    <w:multiLevelType w:val="hybridMultilevel"/>
    <w:tmpl w:val="A0240C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785463"/>
    <w:multiLevelType w:val="hybridMultilevel"/>
    <w:tmpl w:val="CDA6011A"/>
    <w:lvl w:ilvl="0" w:tplc="ACCA5672">
      <w:start w:val="1"/>
      <w:numFmt w:val="decimal"/>
      <w:lvlText w:val="%1."/>
      <w:lvlJc w:val="left"/>
      <w:pPr>
        <w:tabs>
          <w:tab w:val="num" w:pos="585"/>
        </w:tabs>
        <w:ind w:left="585" w:hanging="360"/>
      </w:pPr>
      <w:rPr>
        <w:rFonts w:hint="default"/>
      </w:rPr>
    </w:lvl>
    <w:lvl w:ilvl="1" w:tplc="041D0019" w:tentative="1">
      <w:start w:val="1"/>
      <w:numFmt w:val="lowerLetter"/>
      <w:lvlText w:val="%2."/>
      <w:lvlJc w:val="left"/>
      <w:pPr>
        <w:tabs>
          <w:tab w:val="num" w:pos="1305"/>
        </w:tabs>
        <w:ind w:left="1305" w:hanging="360"/>
      </w:pPr>
    </w:lvl>
    <w:lvl w:ilvl="2" w:tplc="041D001B" w:tentative="1">
      <w:start w:val="1"/>
      <w:numFmt w:val="lowerRoman"/>
      <w:lvlText w:val="%3."/>
      <w:lvlJc w:val="right"/>
      <w:pPr>
        <w:tabs>
          <w:tab w:val="num" w:pos="2025"/>
        </w:tabs>
        <w:ind w:left="2025" w:hanging="180"/>
      </w:pPr>
    </w:lvl>
    <w:lvl w:ilvl="3" w:tplc="041D000F" w:tentative="1">
      <w:start w:val="1"/>
      <w:numFmt w:val="decimal"/>
      <w:lvlText w:val="%4."/>
      <w:lvlJc w:val="left"/>
      <w:pPr>
        <w:tabs>
          <w:tab w:val="num" w:pos="2745"/>
        </w:tabs>
        <w:ind w:left="2745" w:hanging="360"/>
      </w:pPr>
    </w:lvl>
    <w:lvl w:ilvl="4" w:tplc="041D0019" w:tentative="1">
      <w:start w:val="1"/>
      <w:numFmt w:val="lowerLetter"/>
      <w:lvlText w:val="%5."/>
      <w:lvlJc w:val="left"/>
      <w:pPr>
        <w:tabs>
          <w:tab w:val="num" w:pos="3465"/>
        </w:tabs>
        <w:ind w:left="3465" w:hanging="360"/>
      </w:pPr>
    </w:lvl>
    <w:lvl w:ilvl="5" w:tplc="041D001B" w:tentative="1">
      <w:start w:val="1"/>
      <w:numFmt w:val="lowerRoman"/>
      <w:lvlText w:val="%6."/>
      <w:lvlJc w:val="right"/>
      <w:pPr>
        <w:tabs>
          <w:tab w:val="num" w:pos="4185"/>
        </w:tabs>
        <w:ind w:left="4185" w:hanging="180"/>
      </w:pPr>
    </w:lvl>
    <w:lvl w:ilvl="6" w:tplc="041D000F" w:tentative="1">
      <w:start w:val="1"/>
      <w:numFmt w:val="decimal"/>
      <w:lvlText w:val="%7."/>
      <w:lvlJc w:val="left"/>
      <w:pPr>
        <w:tabs>
          <w:tab w:val="num" w:pos="4905"/>
        </w:tabs>
        <w:ind w:left="4905" w:hanging="360"/>
      </w:pPr>
    </w:lvl>
    <w:lvl w:ilvl="7" w:tplc="041D0019" w:tentative="1">
      <w:start w:val="1"/>
      <w:numFmt w:val="lowerLetter"/>
      <w:lvlText w:val="%8."/>
      <w:lvlJc w:val="left"/>
      <w:pPr>
        <w:tabs>
          <w:tab w:val="num" w:pos="5625"/>
        </w:tabs>
        <w:ind w:left="5625" w:hanging="360"/>
      </w:pPr>
    </w:lvl>
    <w:lvl w:ilvl="8" w:tplc="041D001B" w:tentative="1">
      <w:start w:val="1"/>
      <w:numFmt w:val="lowerRoman"/>
      <w:lvlText w:val="%9."/>
      <w:lvlJc w:val="right"/>
      <w:pPr>
        <w:tabs>
          <w:tab w:val="num" w:pos="6345"/>
        </w:tabs>
        <w:ind w:left="6345" w:hanging="180"/>
      </w:pPr>
    </w:lvl>
  </w:abstractNum>
  <w:abstractNum w:abstractNumId="7" w15:restartNumberingAfterBreak="0">
    <w:nsid w:val="20FA5484"/>
    <w:multiLevelType w:val="hybridMultilevel"/>
    <w:tmpl w:val="9A2C36C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1EC0476"/>
    <w:multiLevelType w:val="hybridMultilevel"/>
    <w:tmpl w:val="010A407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22915F02"/>
    <w:multiLevelType w:val="hybridMultilevel"/>
    <w:tmpl w:val="40823B64"/>
    <w:lvl w:ilvl="0" w:tplc="58644E6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78E1A3B"/>
    <w:multiLevelType w:val="hybridMultilevel"/>
    <w:tmpl w:val="DCD0C5A4"/>
    <w:lvl w:ilvl="0" w:tplc="5BD21B20">
      <w:numFmt w:val="bullet"/>
      <w:lvlText w:val="-"/>
      <w:lvlJc w:val="left"/>
      <w:pPr>
        <w:tabs>
          <w:tab w:val="num" w:pos="540"/>
        </w:tabs>
        <w:ind w:left="540" w:hanging="360"/>
      </w:pPr>
      <w:rPr>
        <w:rFonts w:ascii="Times New Roman" w:eastAsia="Times New Roman" w:hAnsi="Times New Roman" w:cs="Times New Roman" w:hint="default"/>
      </w:rPr>
    </w:lvl>
    <w:lvl w:ilvl="1" w:tplc="041D0003" w:tentative="1">
      <w:start w:val="1"/>
      <w:numFmt w:val="bullet"/>
      <w:lvlText w:val="o"/>
      <w:lvlJc w:val="left"/>
      <w:pPr>
        <w:tabs>
          <w:tab w:val="num" w:pos="1260"/>
        </w:tabs>
        <w:ind w:left="1260" w:hanging="360"/>
      </w:pPr>
      <w:rPr>
        <w:rFonts w:ascii="Courier New" w:hAnsi="Courier New" w:hint="default"/>
      </w:rPr>
    </w:lvl>
    <w:lvl w:ilvl="2" w:tplc="041D0005" w:tentative="1">
      <w:start w:val="1"/>
      <w:numFmt w:val="bullet"/>
      <w:lvlText w:val=""/>
      <w:lvlJc w:val="left"/>
      <w:pPr>
        <w:tabs>
          <w:tab w:val="num" w:pos="1980"/>
        </w:tabs>
        <w:ind w:left="1980" w:hanging="360"/>
      </w:pPr>
      <w:rPr>
        <w:rFonts w:ascii="Wingdings" w:hAnsi="Wingdings" w:hint="default"/>
      </w:rPr>
    </w:lvl>
    <w:lvl w:ilvl="3" w:tplc="041D0001" w:tentative="1">
      <w:start w:val="1"/>
      <w:numFmt w:val="bullet"/>
      <w:lvlText w:val=""/>
      <w:lvlJc w:val="left"/>
      <w:pPr>
        <w:tabs>
          <w:tab w:val="num" w:pos="2700"/>
        </w:tabs>
        <w:ind w:left="2700" w:hanging="360"/>
      </w:pPr>
      <w:rPr>
        <w:rFonts w:ascii="Symbol" w:hAnsi="Symbol" w:hint="default"/>
      </w:rPr>
    </w:lvl>
    <w:lvl w:ilvl="4" w:tplc="041D0003" w:tentative="1">
      <w:start w:val="1"/>
      <w:numFmt w:val="bullet"/>
      <w:lvlText w:val="o"/>
      <w:lvlJc w:val="left"/>
      <w:pPr>
        <w:tabs>
          <w:tab w:val="num" w:pos="3420"/>
        </w:tabs>
        <w:ind w:left="3420" w:hanging="360"/>
      </w:pPr>
      <w:rPr>
        <w:rFonts w:ascii="Courier New" w:hAnsi="Courier New" w:hint="default"/>
      </w:rPr>
    </w:lvl>
    <w:lvl w:ilvl="5" w:tplc="041D0005" w:tentative="1">
      <w:start w:val="1"/>
      <w:numFmt w:val="bullet"/>
      <w:lvlText w:val=""/>
      <w:lvlJc w:val="left"/>
      <w:pPr>
        <w:tabs>
          <w:tab w:val="num" w:pos="4140"/>
        </w:tabs>
        <w:ind w:left="4140" w:hanging="360"/>
      </w:pPr>
      <w:rPr>
        <w:rFonts w:ascii="Wingdings" w:hAnsi="Wingdings" w:hint="default"/>
      </w:rPr>
    </w:lvl>
    <w:lvl w:ilvl="6" w:tplc="041D0001" w:tentative="1">
      <w:start w:val="1"/>
      <w:numFmt w:val="bullet"/>
      <w:lvlText w:val=""/>
      <w:lvlJc w:val="left"/>
      <w:pPr>
        <w:tabs>
          <w:tab w:val="num" w:pos="4860"/>
        </w:tabs>
        <w:ind w:left="4860" w:hanging="360"/>
      </w:pPr>
      <w:rPr>
        <w:rFonts w:ascii="Symbol" w:hAnsi="Symbol" w:hint="default"/>
      </w:rPr>
    </w:lvl>
    <w:lvl w:ilvl="7" w:tplc="041D0003" w:tentative="1">
      <w:start w:val="1"/>
      <w:numFmt w:val="bullet"/>
      <w:lvlText w:val="o"/>
      <w:lvlJc w:val="left"/>
      <w:pPr>
        <w:tabs>
          <w:tab w:val="num" w:pos="5580"/>
        </w:tabs>
        <w:ind w:left="5580" w:hanging="360"/>
      </w:pPr>
      <w:rPr>
        <w:rFonts w:ascii="Courier New" w:hAnsi="Courier New" w:hint="default"/>
      </w:rPr>
    </w:lvl>
    <w:lvl w:ilvl="8" w:tplc="041D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8D114F9"/>
    <w:multiLevelType w:val="hybridMultilevel"/>
    <w:tmpl w:val="9536C6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F73688"/>
    <w:multiLevelType w:val="hybridMultilevel"/>
    <w:tmpl w:val="E70E98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6A5C87"/>
    <w:multiLevelType w:val="hybridMultilevel"/>
    <w:tmpl w:val="411C22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2A182B"/>
    <w:multiLevelType w:val="hybridMultilevel"/>
    <w:tmpl w:val="9006D486"/>
    <w:lvl w:ilvl="0" w:tplc="FAB2110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36226DD4"/>
    <w:multiLevelType w:val="hybridMultilevel"/>
    <w:tmpl w:val="183ADB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861618"/>
    <w:multiLevelType w:val="hybridMultilevel"/>
    <w:tmpl w:val="5106CA8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F4274FF"/>
    <w:multiLevelType w:val="hybridMultilevel"/>
    <w:tmpl w:val="FE046A1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3F8F15FE"/>
    <w:multiLevelType w:val="hybridMultilevel"/>
    <w:tmpl w:val="65FA9122"/>
    <w:lvl w:ilvl="0" w:tplc="221E2798">
      <w:start w:val="1"/>
      <w:numFmt w:val="decimal"/>
      <w:lvlText w:val="%1."/>
      <w:lvlJc w:val="left"/>
      <w:pPr>
        <w:tabs>
          <w:tab w:val="num" w:pos="585"/>
        </w:tabs>
        <w:ind w:left="585" w:hanging="360"/>
      </w:pPr>
      <w:rPr>
        <w:rFonts w:hint="default"/>
      </w:rPr>
    </w:lvl>
    <w:lvl w:ilvl="1" w:tplc="041D0019" w:tentative="1">
      <w:start w:val="1"/>
      <w:numFmt w:val="lowerLetter"/>
      <w:lvlText w:val="%2."/>
      <w:lvlJc w:val="left"/>
      <w:pPr>
        <w:tabs>
          <w:tab w:val="num" w:pos="1305"/>
        </w:tabs>
        <w:ind w:left="1305" w:hanging="360"/>
      </w:pPr>
    </w:lvl>
    <w:lvl w:ilvl="2" w:tplc="041D001B" w:tentative="1">
      <w:start w:val="1"/>
      <w:numFmt w:val="lowerRoman"/>
      <w:lvlText w:val="%3."/>
      <w:lvlJc w:val="right"/>
      <w:pPr>
        <w:tabs>
          <w:tab w:val="num" w:pos="2025"/>
        </w:tabs>
        <w:ind w:left="2025" w:hanging="180"/>
      </w:pPr>
    </w:lvl>
    <w:lvl w:ilvl="3" w:tplc="041D000F" w:tentative="1">
      <w:start w:val="1"/>
      <w:numFmt w:val="decimal"/>
      <w:lvlText w:val="%4."/>
      <w:lvlJc w:val="left"/>
      <w:pPr>
        <w:tabs>
          <w:tab w:val="num" w:pos="2745"/>
        </w:tabs>
        <w:ind w:left="2745" w:hanging="360"/>
      </w:pPr>
    </w:lvl>
    <w:lvl w:ilvl="4" w:tplc="041D0019" w:tentative="1">
      <w:start w:val="1"/>
      <w:numFmt w:val="lowerLetter"/>
      <w:lvlText w:val="%5."/>
      <w:lvlJc w:val="left"/>
      <w:pPr>
        <w:tabs>
          <w:tab w:val="num" w:pos="3465"/>
        </w:tabs>
        <w:ind w:left="3465" w:hanging="360"/>
      </w:pPr>
    </w:lvl>
    <w:lvl w:ilvl="5" w:tplc="041D001B" w:tentative="1">
      <w:start w:val="1"/>
      <w:numFmt w:val="lowerRoman"/>
      <w:lvlText w:val="%6."/>
      <w:lvlJc w:val="right"/>
      <w:pPr>
        <w:tabs>
          <w:tab w:val="num" w:pos="4185"/>
        </w:tabs>
        <w:ind w:left="4185" w:hanging="180"/>
      </w:pPr>
    </w:lvl>
    <w:lvl w:ilvl="6" w:tplc="041D000F" w:tentative="1">
      <w:start w:val="1"/>
      <w:numFmt w:val="decimal"/>
      <w:lvlText w:val="%7."/>
      <w:lvlJc w:val="left"/>
      <w:pPr>
        <w:tabs>
          <w:tab w:val="num" w:pos="4905"/>
        </w:tabs>
        <w:ind w:left="4905" w:hanging="360"/>
      </w:pPr>
    </w:lvl>
    <w:lvl w:ilvl="7" w:tplc="041D0019" w:tentative="1">
      <w:start w:val="1"/>
      <w:numFmt w:val="lowerLetter"/>
      <w:lvlText w:val="%8."/>
      <w:lvlJc w:val="left"/>
      <w:pPr>
        <w:tabs>
          <w:tab w:val="num" w:pos="5625"/>
        </w:tabs>
        <w:ind w:left="5625" w:hanging="360"/>
      </w:pPr>
    </w:lvl>
    <w:lvl w:ilvl="8" w:tplc="041D001B" w:tentative="1">
      <w:start w:val="1"/>
      <w:numFmt w:val="lowerRoman"/>
      <w:lvlText w:val="%9."/>
      <w:lvlJc w:val="right"/>
      <w:pPr>
        <w:tabs>
          <w:tab w:val="num" w:pos="6345"/>
        </w:tabs>
        <w:ind w:left="6345" w:hanging="180"/>
      </w:pPr>
    </w:lvl>
  </w:abstractNum>
  <w:abstractNum w:abstractNumId="19" w15:restartNumberingAfterBreak="0">
    <w:nsid w:val="456C0512"/>
    <w:multiLevelType w:val="hybridMultilevel"/>
    <w:tmpl w:val="9FDE7D3A"/>
    <w:lvl w:ilvl="0" w:tplc="C68A3CA2">
      <w:start w:val="1"/>
      <w:numFmt w:val="decimal"/>
      <w:lvlText w:val="%1."/>
      <w:lvlJc w:val="left"/>
      <w:pPr>
        <w:tabs>
          <w:tab w:val="num" w:pos="555"/>
        </w:tabs>
        <w:ind w:left="555" w:hanging="360"/>
      </w:pPr>
      <w:rPr>
        <w:rFonts w:hint="default"/>
      </w:rPr>
    </w:lvl>
    <w:lvl w:ilvl="1" w:tplc="041D0019" w:tentative="1">
      <w:start w:val="1"/>
      <w:numFmt w:val="lowerLetter"/>
      <w:lvlText w:val="%2."/>
      <w:lvlJc w:val="left"/>
      <w:pPr>
        <w:tabs>
          <w:tab w:val="num" w:pos="1275"/>
        </w:tabs>
        <w:ind w:left="1275" w:hanging="360"/>
      </w:pPr>
    </w:lvl>
    <w:lvl w:ilvl="2" w:tplc="041D001B" w:tentative="1">
      <w:start w:val="1"/>
      <w:numFmt w:val="lowerRoman"/>
      <w:lvlText w:val="%3."/>
      <w:lvlJc w:val="right"/>
      <w:pPr>
        <w:tabs>
          <w:tab w:val="num" w:pos="1995"/>
        </w:tabs>
        <w:ind w:left="1995" w:hanging="180"/>
      </w:pPr>
    </w:lvl>
    <w:lvl w:ilvl="3" w:tplc="041D000F" w:tentative="1">
      <w:start w:val="1"/>
      <w:numFmt w:val="decimal"/>
      <w:lvlText w:val="%4."/>
      <w:lvlJc w:val="left"/>
      <w:pPr>
        <w:tabs>
          <w:tab w:val="num" w:pos="2715"/>
        </w:tabs>
        <w:ind w:left="2715" w:hanging="360"/>
      </w:pPr>
    </w:lvl>
    <w:lvl w:ilvl="4" w:tplc="041D0019" w:tentative="1">
      <w:start w:val="1"/>
      <w:numFmt w:val="lowerLetter"/>
      <w:lvlText w:val="%5."/>
      <w:lvlJc w:val="left"/>
      <w:pPr>
        <w:tabs>
          <w:tab w:val="num" w:pos="3435"/>
        </w:tabs>
        <w:ind w:left="3435" w:hanging="360"/>
      </w:pPr>
    </w:lvl>
    <w:lvl w:ilvl="5" w:tplc="041D001B" w:tentative="1">
      <w:start w:val="1"/>
      <w:numFmt w:val="lowerRoman"/>
      <w:lvlText w:val="%6."/>
      <w:lvlJc w:val="right"/>
      <w:pPr>
        <w:tabs>
          <w:tab w:val="num" w:pos="4155"/>
        </w:tabs>
        <w:ind w:left="4155" w:hanging="180"/>
      </w:pPr>
    </w:lvl>
    <w:lvl w:ilvl="6" w:tplc="041D000F" w:tentative="1">
      <w:start w:val="1"/>
      <w:numFmt w:val="decimal"/>
      <w:lvlText w:val="%7."/>
      <w:lvlJc w:val="left"/>
      <w:pPr>
        <w:tabs>
          <w:tab w:val="num" w:pos="4875"/>
        </w:tabs>
        <w:ind w:left="4875" w:hanging="360"/>
      </w:pPr>
    </w:lvl>
    <w:lvl w:ilvl="7" w:tplc="041D0019" w:tentative="1">
      <w:start w:val="1"/>
      <w:numFmt w:val="lowerLetter"/>
      <w:lvlText w:val="%8."/>
      <w:lvlJc w:val="left"/>
      <w:pPr>
        <w:tabs>
          <w:tab w:val="num" w:pos="5595"/>
        </w:tabs>
        <w:ind w:left="5595" w:hanging="360"/>
      </w:pPr>
    </w:lvl>
    <w:lvl w:ilvl="8" w:tplc="041D001B" w:tentative="1">
      <w:start w:val="1"/>
      <w:numFmt w:val="lowerRoman"/>
      <w:lvlText w:val="%9."/>
      <w:lvlJc w:val="right"/>
      <w:pPr>
        <w:tabs>
          <w:tab w:val="num" w:pos="6315"/>
        </w:tabs>
        <w:ind w:left="6315" w:hanging="180"/>
      </w:pPr>
    </w:lvl>
  </w:abstractNum>
  <w:abstractNum w:abstractNumId="20" w15:restartNumberingAfterBreak="0">
    <w:nsid w:val="493118A0"/>
    <w:multiLevelType w:val="hybridMultilevel"/>
    <w:tmpl w:val="9E5A67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710E36"/>
    <w:multiLevelType w:val="hybridMultilevel"/>
    <w:tmpl w:val="71C4F11A"/>
    <w:lvl w:ilvl="0" w:tplc="F744B2B6">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55350865"/>
    <w:multiLevelType w:val="hybridMultilevel"/>
    <w:tmpl w:val="2BA023D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57EC50D0"/>
    <w:multiLevelType w:val="hybridMultilevel"/>
    <w:tmpl w:val="732828A4"/>
    <w:lvl w:ilvl="0" w:tplc="9FBECF7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59FB4989"/>
    <w:multiLevelType w:val="hybridMultilevel"/>
    <w:tmpl w:val="347CEC7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2E94F70"/>
    <w:multiLevelType w:val="hybridMultilevel"/>
    <w:tmpl w:val="1DD264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E10509"/>
    <w:multiLevelType w:val="hybridMultilevel"/>
    <w:tmpl w:val="8F1EEA08"/>
    <w:lvl w:ilvl="0" w:tplc="3FFE5A7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66D366E8"/>
    <w:multiLevelType w:val="hybridMultilevel"/>
    <w:tmpl w:val="C254A1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FF42924"/>
    <w:multiLevelType w:val="hybridMultilevel"/>
    <w:tmpl w:val="0F3EFA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16500BD"/>
    <w:multiLevelType w:val="hybridMultilevel"/>
    <w:tmpl w:val="C7185EB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721B5652"/>
    <w:multiLevelType w:val="hybridMultilevel"/>
    <w:tmpl w:val="C5AAAA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9"/>
  </w:num>
  <w:num w:numId="4">
    <w:abstractNumId w:val="18"/>
  </w:num>
  <w:num w:numId="5">
    <w:abstractNumId w:val="6"/>
  </w:num>
  <w:num w:numId="6">
    <w:abstractNumId w:val="22"/>
  </w:num>
  <w:num w:numId="7">
    <w:abstractNumId w:val="3"/>
  </w:num>
  <w:num w:numId="8">
    <w:abstractNumId w:val="17"/>
  </w:num>
  <w:num w:numId="9">
    <w:abstractNumId w:val="30"/>
  </w:num>
  <w:num w:numId="10">
    <w:abstractNumId w:val="4"/>
  </w:num>
  <w:num w:numId="11">
    <w:abstractNumId w:val="11"/>
  </w:num>
  <w:num w:numId="12">
    <w:abstractNumId w:val="28"/>
  </w:num>
  <w:num w:numId="13">
    <w:abstractNumId w:val="2"/>
  </w:num>
  <w:num w:numId="14">
    <w:abstractNumId w:val="20"/>
  </w:num>
  <w:num w:numId="15">
    <w:abstractNumId w:val="7"/>
  </w:num>
  <w:num w:numId="16">
    <w:abstractNumId w:val="5"/>
  </w:num>
  <w:num w:numId="17">
    <w:abstractNumId w:val="27"/>
  </w:num>
  <w:num w:numId="18">
    <w:abstractNumId w:val="26"/>
  </w:num>
  <w:num w:numId="19">
    <w:abstractNumId w:val="15"/>
  </w:num>
  <w:num w:numId="20">
    <w:abstractNumId w:val="14"/>
  </w:num>
  <w:num w:numId="21">
    <w:abstractNumId w:val="24"/>
  </w:num>
  <w:num w:numId="22">
    <w:abstractNumId w:val="12"/>
  </w:num>
  <w:num w:numId="23">
    <w:abstractNumId w:val="23"/>
  </w:num>
  <w:num w:numId="24">
    <w:abstractNumId w:val="25"/>
  </w:num>
  <w:num w:numId="25">
    <w:abstractNumId w:val="21"/>
  </w:num>
  <w:num w:numId="26">
    <w:abstractNumId w:val="1"/>
  </w:num>
  <w:num w:numId="27">
    <w:abstractNumId w:val="13"/>
  </w:num>
  <w:num w:numId="28">
    <w:abstractNumId w:val="9"/>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B57"/>
    <w:rsid w:val="005D5B57"/>
    <w:rsid w:val="006813E5"/>
    <w:rsid w:val="00BC3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3A66"/>
  <w15:chartTrackingRefBased/>
  <w15:docId w15:val="{0B2515BB-C74E-402E-AEEC-39F43BC2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Rubrik1">
    <w:name w:val="heading 1"/>
    <w:basedOn w:val="Normal"/>
    <w:next w:val="Normal"/>
    <w:qFormat/>
    <w:pPr>
      <w:keepNext/>
      <w:suppressAutoHyphens/>
      <w:spacing w:line="360" w:lineRule="auto"/>
      <w:jc w:val="both"/>
      <w:outlineLvl w:val="0"/>
    </w:pPr>
    <w:rPr>
      <w:rFonts w:ascii="Times New Roman" w:hAnsi="Times New Roman"/>
      <w:b/>
      <w:spacing w:val="-3"/>
      <w:lang w:val="en-US"/>
    </w:rPr>
  </w:style>
  <w:style w:type="paragraph" w:styleId="Rubrik2">
    <w:name w:val="heading 2"/>
    <w:basedOn w:val="Normal"/>
    <w:next w:val="Normal"/>
    <w:qFormat/>
    <w:pPr>
      <w:keepNext/>
      <w:suppressAutoHyphens/>
      <w:spacing w:line="360" w:lineRule="auto"/>
      <w:jc w:val="both"/>
      <w:outlineLvl w:val="1"/>
    </w:pPr>
    <w:rPr>
      <w:rFonts w:ascii="Times New Roman" w:hAnsi="Times New Roman"/>
      <w:b/>
      <w:i/>
      <w:spacing w:val="-3"/>
      <w:lang w:val="en-US"/>
    </w:rPr>
  </w:style>
  <w:style w:type="paragraph" w:styleId="Rubrik3">
    <w:name w:val="heading 3"/>
    <w:basedOn w:val="Normal"/>
    <w:next w:val="Normal"/>
    <w:qFormat/>
    <w:pPr>
      <w:keepNext/>
      <w:suppressAutoHyphens/>
      <w:spacing w:line="360" w:lineRule="auto"/>
      <w:jc w:val="both"/>
      <w:outlineLvl w:val="2"/>
    </w:pPr>
    <w:rPr>
      <w:rFonts w:ascii="Times New Roman" w:hAnsi="Times New Roman"/>
      <w:b/>
      <w:spacing w:val="-3"/>
      <w:sz w:val="32"/>
    </w:rPr>
  </w:style>
  <w:style w:type="paragraph" w:styleId="Rubrik4">
    <w:name w:val="heading 4"/>
    <w:basedOn w:val="Normal"/>
    <w:next w:val="Normal"/>
    <w:qFormat/>
    <w:pPr>
      <w:keepNext/>
      <w:widowControl/>
      <w:suppressAutoHyphens/>
      <w:spacing w:line="360" w:lineRule="auto"/>
      <w:jc w:val="both"/>
      <w:outlineLvl w:val="3"/>
    </w:pPr>
    <w:rPr>
      <w:rFonts w:ascii="Times New Roman" w:hAnsi="Times New Roman"/>
      <w:i/>
      <w:iCs/>
      <w:snapToGrid/>
      <w:lang w:val="en-US"/>
    </w:rPr>
  </w:style>
  <w:style w:type="paragraph" w:styleId="Rubrik5">
    <w:name w:val="heading 5"/>
    <w:basedOn w:val="Normal"/>
    <w:next w:val="Normal"/>
    <w:qFormat/>
    <w:pPr>
      <w:keepNext/>
      <w:widowControl/>
      <w:jc w:val="both"/>
      <w:outlineLvl w:val="4"/>
    </w:pPr>
    <w:rPr>
      <w:rFonts w:ascii="Times New Roman" w:hAnsi="Times New Roman"/>
      <w:b/>
      <w:snapToGrid/>
      <w:sz w:val="36"/>
      <w:szCs w:val="32"/>
    </w:rPr>
  </w:style>
  <w:style w:type="paragraph" w:styleId="Rubrik6">
    <w:name w:val="heading 6"/>
    <w:basedOn w:val="Normal"/>
    <w:next w:val="Normal"/>
    <w:qFormat/>
    <w:pPr>
      <w:keepNext/>
      <w:widowControl/>
      <w:spacing w:line="360" w:lineRule="auto"/>
      <w:jc w:val="both"/>
      <w:outlineLvl w:val="5"/>
    </w:pPr>
    <w:rPr>
      <w:rFonts w:ascii="Times New Roman" w:hAnsi="Times New Roman"/>
      <w:b/>
      <w:snapToGrid/>
      <w:sz w:val="32"/>
      <w:szCs w:val="28"/>
    </w:rPr>
  </w:style>
  <w:style w:type="paragraph" w:styleId="Rubrik7">
    <w:name w:val="heading 7"/>
    <w:basedOn w:val="Normal"/>
    <w:next w:val="Normal"/>
    <w:qFormat/>
    <w:pPr>
      <w:keepNext/>
      <w:suppressAutoHyphens/>
      <w:spacing w:line="360" w:lineRule="auto"/>
      <w:jc w:val="both"/>
      <w:outlineLvl w:val="6"/>
    </w:pPr>
    <w:rPr>
      <w:rFonts w:ascii="Times New Roman" w:hAnsi="Times New Roman"/>
      <w:b/>
      <w:bCs/>
      <w:spacing w:val="-3"/>
      <w:sz w:val="28"/>
      <w:lang w:val="en-GB"/>
    </w:rPr>
  </w:style>
  <w:style w:type="paragraph" w:styleId="Rubrik8">
    <w:name w:val="heading 8"/>
    <w:basedOn w:val="Normal"/>
    <w:next w:val="Normal"/>
    <w:qFormat/>
    <w:pPr>
      <w:keepNext/>
      <w:suppressAutoHyphens/>
      <w:spacing w:line="360" w:lineRule="auto"/>
      <w:jc w:val="both"/>
      <w:outlineLvl w:val="7"/>
    </w:pPr>
    <w:rPr>
      <w:rFonts w:ascii="Times New Roman" w:hAnsi="Times New Roman"/>
      <w:bCs/>
      <w:spacing w:val="-3"/>
      <w:sz w:val="28"/>
      <w:lang w:val="en-US"/>
    </w:rPr>
  </w:style>
  <w:style w:type="paragraph" w:styleId="Rubrik9">
    <w:name w:val="heading 9"/>
    <w:basedOn w:val="Normal"/>
    <w:next w:val="Normal"/>
    <w:qFormat/>
    <w:pPr>
      <w:keepNext/>
      <w:widowControl/>
      <w:suppressAutoHyphens/>
      <w:spacing w:line="360" w:lineRule="auto"/>
      <w:ind w:left="1304" w:hanging="1304"/>
      <w:jc w:val="both"/>
      <w:outlineLvl w:val="8"/>
    </w:pPr>
    <w:rPr>
      <w:rFonts w:ascii="Times New Roman" w:hAnsi="Times New Roman"/>
      <w:b/>
      <w:snapToGrid/>
      <w:sz w:val="32"/>
      <w:szCs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teckensnittfrstycke">
    <w:name w:val="Standardteckensnitt för stycke"/>
  </w:style>
  <w:style w:type="paragraph" w:styleId="Slutnotstext">
    <w:name w:val="endnote text"/>
    <w:basedOn w:val="Normal"/>
    <w:semiHidden/>
  </w:style>
  <w:style w:type="character" w:styleId="Slutnotsreferens">
    <w:name w:val="endnote reference"/>
    <w:semiHidden/>
    <w:rPr>
      <w:vertAlign w:val="superscript"/>
    </w:rPr>
  </w:style>
  <w:style w:type="paragraph" w:styleId="Fotnotstext">
    <w:name w:val="footnote text"/>
    <w:basedOn w:val="Normal"/>
    <w:autoRedefine/>
    <w:semiHidden/>
    <w:pPr>
      <w:jc w:val="both"/>
    </w:pPr>
    <w:rPr>
      <w:rFonts w:ascii="Times New Roman" w:hAnsi="Times New Roman"/>
      <w:spacing w:val="-3"/>
      <w:sz w:val="20"/>
      <w:lang w:val="en-US"/>
    </w:rPr>
  </w:style>
  <w:style w:type="character" w:styleId="Fotnotsreferens">
    <w:name w:val="footnote reference"/>
    <w:semiHidden/>
    <w:rPr>
      <w:vertAlign w:val="superscript"/>
    </w:rPr>
  </w:style>
  <w:style w:type="paragraph" w:customStyle="1" w:styleId="innehll1">
    <w:name w:val="innehåll 1"/>
    <w:basedOn w:val="Normal"/>
    <w:pPr>
      <w:tabs>
        <w:tab w:val="right" w:leader="dot" w:pos="9360"/>
      </w:tabs>
      <w:suppressAutoHyphens/>
      <w:spacing w:before="480"/>
      <w:ind w:left="720" w:right="720" w:hanging="720"/>
    </w:pPr>
    <w:rPr>
      <w:lang w:val="en-US"/>
    </w:rPr>
  </w:style>
  <w:style w:type="paragraph" w:customStyle="1" w:styleId="innehll2">
    <w:name w:val="innehåll 2"/>
    <w:basedOn w:val="Normal"/>
    <w:pPr>
      <w:tabs>
        <w:tab w:val="right" w:leader="dot" w:pos="9360"/>
      </w:tabs>
      <w:suppressAutoHyphens/>
      <w:ind w:left="1440" w:right="720" w:hanging="720"/>
    </w:pPr>
    <w:rPr>
      <w:lang w:val="en-US"/>
    </w:rPr>
  </w:style>
  <w:style w:type="paragraph" w:customStyle="1" w:styleId="innehll3">
    <w:name w:val="innehåll 3"/>
    <w:basedOn w:val="Normal"/>
    <w:pPr>
      <w:tabs>
        <w:tab w:val="right" w:leader="dot" w:pos="9360"/>
      </w:tabs>
      <w:suppressAutoHyphens/>
      <w:ind w:left="2160" w:right="720" w:hanging="720"/>
    </w:pPr>
    <w:rPr>
      <w:lang w:val="en-US"/>
    </w:rPr>
  </w:style>
  <w:style w:type="paragraph" w:customStyle="1" w:styleId="innehll4">
    <w:name w:val="innehåll 4"/>
    <w:basedOn w:val="Normal"/>
    <w:pPr>
      <w:tabs>
        <w:tab w:val="right" w:leader="dot" w:pos="9360"/>
      </w:tabs>
      <w:suppressAutoHyphens/>
      <w:ind w:left="2880" w:right="720" w:hanging="720"/>
    </w:pPr>
    <w:rPr>
      <w:lang w:val="en-US"/>
    </w:rPr>
  </w:style>
  <w:style w:type="paragraph" w:customStyle="1" w:styleId="innehll5">
    <w:name w:val="innehåll 5"/>
    <w:basedOn w:val="Normal"/>
    <w:pPr>
      <w:tabs>
        <w:tab w:val="right" w:leader="dot" w:pos="9360"/>
      </w:tabs>
      <w:suppressAutoHyphens/>
      <w:ind w:left="3600" w:right="720" w:hanging="720"/>
    </w:pPr>
    <w:rPr>
      <w:lang w:val="en-US"/>
    </w:rPr>
  </w:style>
  <w:style w:type="paragraph" w:customStyle="1" w:styleId="innehll6">
    <w:name w:val="innehåll 6"/>
    <w:basedOn w:val="Normal"/>
    <w:pPr>
      <w:tabs>
        <w:tab w:val="right" w:pos="9360"/>
      </w:tabs>
      <w:suppressAutoHyphens/>
      <w:ind w:left="720" w:hanging="720"/>
    </w:pPr>
    <w:rPr>
      <w:lang w:val="en-US"/>
    </w:rPr>
  </w:style>
  <w:style w:type="paragraph" w:customStyle="1" w:styleId="innehll7">
    <w:name w:val="innehåll 7"/>
    <w:basedOn w:val="Normal"/>
    <w:pPr>
      <w:suppressAutoHyphens/>
      <w:ind w:left="720" w:hanging="720"/>
    </w:pPr>
    <w:rPr>
      <w:lang w:val="en-US"/>
    </w:rPr>
  </w:style>
  <w:style w:type="paragraph" w:customStyle="1" w:styleId="innehll8">
    <w:name w:val="innehåll 8"/>
    <w:basedOn w:val="Normal"/>
    <w:pPr>
      <w:tabs>
        <w:tab w:val="right" w:pos="9360"/>
      </w:tabs>
      <w:suppressAutoHyphens/>
      <w:ind w:left="720" w:hanging="720"/>
    </w:pPr>
    <w:rPr>
      <w:lang w:val="en-US"/>
    </w:rPr>
  </w:style>
  <w:style w:type="paragraph" w:customStyle="1" w:styleId="innehll9">
    <w:name w:val="innehåll 9"/>
    <w:basedOn w:val="Normal"/>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customStyle="1" w:styleId="citatfrteckning">
    <w:name w:val="citatförteckning"/>
    <w:basedOn w:val="Normal"/>
    <w:pPr>
      <w:tabs>
        <w:tab w:val="right" w:pos="9360"/>
      </w:tabs>
      <w:suppressAutoHyphens/>
    </w:pPr>
    <w:rPr>
      <w:lang w:val="en-US"/>
    </w:rPr>
  </w:style>
  <w:style w:type="paragraph" w:customStyle="1" w:styleId="beskrivning">
    <w:name w:val="beskrivning"/>
    <w:basedOn w:val="Normal"/>
  </w:style>
  <w:style w:type="character" w:customStyle="1" w:styleId="EquationCaption">
    <w:name w:val="_Equation Caption"/>
  </w:style>
  <w:style w:type="paragraph" w:styleId="Brdtext">
    <w:name w:val="Body Text"/>
    <w:basedOn w:val="Normal"/>
    <w:semiHidden/>
    <w:pPr>
      <w:suppressAutoHyphens/>
      <w:spacing w:line="360" w:lineRule="auto"/>
      <w:jc w:val="both"/>
    </w:pPr>
    <w:rPr>
      <w:rFonts w:ascii="Times New Roman" w:hAnsi="Times New Roman"/>
      <w:spacing w:val="-3"/>
      <w:lang w:val="en-US"/>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Brdtext2">
    <w:name w:val="Body Text 2"/>
    <w:basedOn w:val="Normal"/>
    <w:semiHidden/>
    <w:pPr>
      <w:suppressAutoHyphens/>
      <w:spacing w:line="360" w:lineRule="auto"/>
      <w:jc w:val="both"/>
    </w:pPr>
    <w:rPr>
      <w:rFonts w:ascii="Times New Roman" w:hAnsi="Times New Roman"/>
      <w:b/>
      <w:spacing w:val="-3"/>
      <w:sz w:val="32"/>
    </w:rPr>
  </w:style>
  <w:style w:type="character" w:styleId="Hyperlnk">
    <w:name w:val="Hyperlink"/>
    <w:semiHidden/>
    <w:rPr>
      <w:strike w:val="0"/>
      <w:dstrike w:val="0"/>
      <w:color w:val="435999"/>
      <w:u w:val="none"/>
      <w:effect w:val="none"/>
    </w:rPr>
  </w:style>
  <w:style w:type="paragraph" w:styleId="Brdtext3">
    <w:name w:val="Body Text 3"/>
    <w:basedOn w:val="Normal"/>
    <w:semiHidden/>
    <w:pPr>
      <w:widowControl/>
      <w:suppressAutoHyphens/>
      <w:spacing w:line="360" w:lineRule="auto"/>
      <w:jc w:val="both"/>
    </w:pPr>
    <w:rPr>
      <w:rFonts w:ascii="Times New Roman" w:hAnsi="Times New Roman"/>
      <w:b/>
      <w:bCs/>
      <w:snapToGrid/>
      <w:spacing w:val="-3"/>
      <w:sz w:val="40"/>
    </w:rPr>
  </w:style>
  <w:style w:type="paragraph" w:styleId="HTML-frformaterad">
    <w:name w:val="HTML Preformatted"/>
    <w:aliases w:val=" förformaterad"/>
    <w:basedOn w:val="Normal"/>
    <w:semiHidden/>
    <w:rPr>
      <w:rFonts w:cs="Courier New"/>
      <w:sz w:val="20"/>
    </w:rPr>
  </w:style>
  <w:style w:type="character" w:styleId="Stark">
    <w:name w:val="Strong"/>
    <w:qFormat/>
    <w:rPr>
      <w:rFonts w:cs="Times New Roman"/>
      <w:b/>
      <w:bCs/>
    </w:rPr>
  </w:style>
  <w:style w:type="character" w:styleId="AnvndHyperl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wikipedia.org/wiki/H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wikipedia.org/wiki/Svensktopp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wikipedia.org/wiki/Progressi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bfstockholm.se/socforum/evenemang/arbetarrorelsens-solidaritetsbegrepp-och-religionens-karleksbudskap" TargetMode="External"/><Relationship Id="rId2" Type="http://schemas.openxmlformats.org/officeDocument/2006/relationships/hyperlink" Target="http://www.abf.se/Distrikt-och-avdelningar/ABF-Skane/ABF-Malmo/STARTA-EGEN-CIRKEL/Musik/DIY1/;http://www.abfgoteborg.org/index.php?option=com_content&amp;view=article&amp;id=646%3Arubrik&amp;Itemid=48" TargetMode="External"/><Relationship Id="rId1" Type="http://schemas.openxmlformats.org/officeDocument/2006/relationships/hyperlink" Target="http://www.timbro.se/bokhandel/pdf/9175667140.pdf" TargetMode="External"/><Relationship Id="rId5" Type="http://schemas.openxmlformats.org/officeDocument/2006/relationships/hyperlink" Target="http://www.nordicom.gu.se/sites/default/files/kapitel-pdf/18_033-042.pdf" TargetMode="External"/><Relationship Id="rId4" Type="http://schemas.openxmlformats.org/officeDocument/2006/relationships/hyperlink" Target="http://matteoni.blogspot.se/2010/09/arbetarrorelsens-guldalder-ar-ove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6773</Words>
  <Characters>35901</Characters>
  <Application>Microsoft Office Word</Application>
  <DocSecurity>0</DocSecurity>
  <Lines>299</Lines>
  <Paragraphs>85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KAMPEN OM FACKET</vt:lpstr>
      <vt:lpstr>KAMPEN OM FACKET</vt:lpstr>
    </vt:vector>
  </TitlesOfParts>
  <Company>Linköpings universitet</Company>
  <LinksUpToDate>false</LinksUpToDate>
  <CharactersWithSpaces>42589</CharactersWithSpaces>
  <SharedDoc>false</SharedDoc>
  <HLinks>
    <vt:vector size="48" baseType="variant">
      <vt:variant>
        <vt:i4>8257582</vt:i4>
      </vt:variant>
      <vt:variant>
        <vt:i4>6</vt:i4>
      </vt:variant>
      <vt:variant>
        <vt:i4>0</vt:i4>
      </vt:variant>
      <vt:variant>
        <vt:i4>5</vt:i4>
      </vt:variant>
      <vt:variant>
        <vt:lpwstr>http://sv.wikipedia.org/wiki/Progressiv</vt:lpwstr>
      </vt:variant>
      <vt:variant>
        <vt:lpwstr/>
      </vt:variant>
      <vt:variant>
        <vt:i4>1376324</vt:i4>
      </vt:variant>
      <vt:variant>
        <vt:i4>3</vt:i4>
      </vt:variant>
      <vt:variant>
        <vt:i4>0</vt:i4>
      </vt:variant>
      <vt:variant>
        <vt:i4>5</vt:i4>
      </vt:variant>
      <vt:variant>
        <vt:lpwstr>http://sv.wikipedia.org/wiki/Hit</vt:lpwstr>
      </vt:variant>
      <vt:variant>
        <vt:lpwstr/>
      </vt:variant>
      <vt:variant>
        <vt:i4>852033</vt:i4>
      </vt:variant>
      <vt:variant>
        <vt:i4>0</vt:i4>
      </vt:variant>
      <vt:variant>
        <vt:i4>0</vt:i4>
      </vt:variant>
      <vt:variant>
        <vt:i4>5</vt:i4>
      </vt:variant>
      <vt:variant>
        <vt:lpwstr>http://sv.wikipedia.org/wiki/Svensktoppen</vt:lpwstr>
      </vt:variant>
      <vt:variant>
        <vt:lpwstr/>
      </vt:variant>
      <vt:variant>
        <vt:i4>5570668</vt:i4>
      </vt:variant>
      <vt:variant>
        <vt:i4>12</vt:i4>
      </vt:variant>
      <vt:variant>
        <vt:i4>0</vt:i4>
      </vt:variant>
      <vt:variant>
        <vt:i4>5</vt:i4>
      </vt:variant>
      <vt:variant>
        <vt:lpwstr>http://www.nordicom.gu.se/sites/default/files/kapitel-pdf/18_033-042.pdf</vt:lpwstr>
      </vt:variant>
      <vt:variant>
        <vt:lpwstr/>
      </vt:variant>
      <vt:variant>
        <vt:i4>6684797</vt:i4>
      </vt:variant>
      <vt:variant>
        <vt:i4>9</vt:i4>
      </vt:variant>
      <vt:variant>
        <vt:i4>0</vt:i4>
      </vt:variant>
      <vt:variant>
        <vt:i4>5</vt:i4>
      </vt:variant>
      <vt:variant>
        <vt:lpwstr>http://matteoni.blogspot.se/2010/09/arbetarrorelsens-guldalder-ar-over.html</vt:lpwstr>
      </vt:variant>
      <vt:variant>
        <vt:lpwstr/>
      </vt:variant>
      <vt:variant>
        <vt:i4>2031703</vt:i4>
      </vt:variant>
      <vt:variant>
        <vt:i4>6</vt:i4>
      </vt:variant>
      <vt:variant>
        <vt:i4>0</vt:i4>
      </vt:variant>
      <vt:variant>
        <vt:i4>5</vt:i4>
      </vt:variant>
      <vt:variant>
        <vt:lpwstr>http://abfstockholm.se/socforum/evenemang/arbetarrorelsens-solidaritetsbegrepp-och-religionens-karleksbudskap</vt:lpwstr>
      </vt:variant>
      <vt:variant>
        <vt:lpwstr/>
      </vt:variant>
      <vt:variant>
        <vt:i4>7209032</vt:i4>
      </vt:variant>
      <vt:variant>
        <vt:i4>3</vt:i4>
      </vt:variant>
      <vt:variant>
        <vt:i4>0</vt:i4>
      </vt:variant>
      <vt:variant>
        <vt:i4>5</vt:i4>
      </vt:variant>
      <vt:variant>
        <vt:lpwstr>http://www.abf.se/Distrikt-och-avdelningar/ABF-Skane/ABF-Malmo/STARTA-EGEN-CIRKEL/Musik/DIY1/;http://www.abfgoteborg.org/index.php?option=com_content&amp;view=article&amp;id=646%3Arubrik&amp;Itemid=48</vt:lpwstr>
      </vt:variant>
      <vt:variant>
        <vt:lpwstr/>
      </vt:variant>
      <vt:variant>
        <vt:i4>786499</vt:i4>
      </vt:variant>
      <vt:variant>
        <vt:i4>0</vt:i4>
      </vt:variant>
      <vt:variant>
        <vt:i4>0</vt:i4>
      </vt:variant>
      <vt:variant>
        <vt:i4>5</vt:i4>
      </vt:variant>
      <vt:variant>
        <vt:lpwstr>http://www.timbro.se/bokhandel/pdf/9175667140.pdf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KAMPEN OM FACKET</dc:title>
  <dc:subject/>
  <dc:creator>Björn Horgby</dc:creator>
  <cp:keywords/>
  <dc:description/>
  <cp:lastModifiedBy>Björn Horgby</cp:lastModifiedBy>
  <cp:revision>2</cp:revision>
  <cp:lastPrinted>2015-01-26T13:24:00Z</cp:lastPrinted>
  <dcterms:created xsi:type="dcterms:W3CDTF">2020-01-13T11:58:00Z</dcterms:created>
  <dcterms:modified xsi:type="dcterms:W3CDTF">2020-01-13T11:58:00Z</dcterms:modified>
</cp:coreProperties>
</file>